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байгууламжын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proofErr w:type="spellStart"/>
      <w:r w:rsidR="00923133" w:rsidRPr="00923133">
        <w:rPr>
          <w:sz w:val="18"/>
          <w:szCs w:val="18"/>
        </w:rPr>
        <w:t>https</w:t>
      </w:r>
      <w:proofErr w:type="spellEnd"/>
      <w:r w:rsidR="00923133" w:rsidRPr="00923133">
        <w:rPr>
          <w:sz w:val="18"/>
          <w:szCs w:val="18"/>
        </w:rPr>
        <w:t>://</w:t>
      </w:r>
      <w:proofErr w:type="spellStart"/>
      <w:r w:rsidR="00923133" w:rsidRPr="00923133">
        <w:rPr>
          <w:sz w:val="18"/>
          <w:szCs w:val="18"/>
        </w:rPr>
        <w:t>egov-buryatia.ru</w:t>
      </w:r>
      <w:proofErr w:type="spellEnd"/>
      <w:r w:rsidR="00923133" w:rsidRPr="00923133">
        <w:rPr>
          <w:sz w:val="18"/>
          <w:szCs w:val="18"/>
        </w:rPr>
        <w:t>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745BFD">
        <w:rPr>
          <w:sz w:val="18"/>
          <w:szCs w:val="18"/>
        </w:rPr>
        <w:t>13</w:t>
      </w:r>
      <w:r w:rsidR="00B0759B">
        <w:rPr>
          <w:sz w:val="18"/>
          <w:szCs w:val="18"/>
        </w:rPr>
        <w:t>.</w:t>
      </w:r>
      <w:r w:rsidR="009A7FA4">
        <w:rPr>
          <w:sz w:val="18"/>
          <w:szCs w:val="18"/>
        </w:rPr>
        <w:t>1</w:t>
      </w:r>
      <w:r w:rsidR="001A776A">
        <w:rPr>
          <w:sz w:val="18"/>
          <w:szCs w:val="18"/>
        </w:rPr>
        <w:t>2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0C396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745BFD">
        <w:rPr>
          <w:sz w:val="18"/>
          <w:szCs w:val="18"/>
        </w:rPr>
        <w:t>13</w:t>
      </w:r>
      <w:r w:rsidR="00B0759B">
        <w:rPr>
          <w:sz w:val="18"/>
          <w:szCs w:val="18"/>
        </w:rPr>
        <w:t>.</w:t>
      </w:r>
      <w:r w:rsidR="001A776A">
        <w:rPr>
          <w:sz w:val="18"/>
          <w:szCs w:val="18"/>
        </w:rPr>
        <w:t>01.</w:t>
      </w:r>
      <w:r w:rsidR="00B0759B">
        <w:rPr>
          <w:sz w:val="18"/>
          <w:szCs w:val="18"/>
        </w:rPr>
        <w:t>202</w:t>
      </w:r>
      <w:r w:rsidR="001A776A">
        <w:rPr>
          <w:sz w:val="18"/>
          <w:szCs w:val="18"/>
        </w:rPr>
        <w:t>5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5212E2" w:rsidRDefault="005212E2" w:rsidP="00105F34">
      <w:pPr>
        <w:jc w:val="center"/>
        <w:rPr>
          <w:sz w:val="18"/>
          <w:szCs w:val="18"/>
        </w:rPr>
      </w:pPr>
    </w:p>
    <w:p w:rsidR="004C75DE" w:rsidRDefault="004C75DE" w:rsidP="005073B7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</w:t>
      </w:r>
      <w:proofErr w:type="spellStart"/>
      <w:r w:rsidR="00745BFD">
        <w:rPr>
          <w:sz w:val="18"/>
          <w:szCs w:val="18"/>
        </w:rPr>
        <w:t>СНТ</w:t>
      </w:r>
      <w:proofErr w:type="spellEnd"/>
      <w:r w:rsidR="00745BFD">
        <w:rPr>
          <w:sz w:val="18"/>
          <w:szCs w:val="18"/>
        </w:rPr>
        <w:t xml:space="preserve"> «</w:t>
      </w:r>
      <w:proofErr w:type="spellStart"/>
      <w:r w:rsidR="00745BFD">
        <w:rPr>
          <w:sz w:val="18"/>
          <w:szCs w:val="18"/>
        </w:rPr>
        <w:t>Тыя</w:t>
      </w:r>
      <w:proofErr w:type="spellEnd"/>
      <w:r w:rsidR="00745BFD">
        <w:rPr>
          <w:sz w:val="18"/>
          <w:szCs w:val="18"/>
        </w:rPr>
        <w:t>», линия 12, участок №54</w:t>
      </w:r>
      <w:r>
        <w:rPr>
          <w:sz w:val="18"/>
          <w:szCs w:val="18"/>
        </w:rPr>
        <w:t xml:space="preserve">. </w:t>
      </w:r>
      <w:r w:rsidR="00745BFD" w:rsidRPr="00745BFD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 w:rsidR="00745BFD">
        <w:rPr>
          <w:sz w:val="18"/>
          <w:szCs w:val="18"/>
        </w:rPr>
        <w:t>600</w:t>
      </w:r>
      <w:r w:rsidR="00745BFD" w:rsidRPr="00745BFD">
        <w:rPr>
          <w:sz w:val="18"/>
          <w:szCs w:val="18"/>
        </w:rPr>
        <w:t xml:space="preserve"> </w:t>
      </w:r>
      <w:proofErr w:type="spellStart"/>
      <w:r w:rsidR="00745BFD" w:rsidRPr="00745BFD">
        <w:rPr>
          <w:sz w:val="18"/>
          <w:szCs w:val="18"/>
        </w:rPr>
        <w:t>кв.м</w:t>
      </w:r>
      <w:proofErr w:type="spellEnd"/>
      <w:r w:rsidR="00745BFD" w:rsidRPr="00745BFD">
        <w:rPr>
          <w:sz w:val="18"/>
          <w:szCs w:val="18"/>
        </w:rPr>
        <w:t>.  Разрешенное использование: ведение садоводства</w:t>
      </w:r>
      <w:r w:rsidR="00745BFD">
        <w:rPr>
          <w:sz w:val="18"/>
          <w:szCs w:val="18"/>
        </w:rPr>
        <w:t>.</w:t>
      </w:r>
    </w:p>
    <w:p w:rsidR="005607D4" w:rsidRDefault="005607D4" w:rsidP="001604C5">
      <w:pPr>
        <w:jc w:val="both"/>
        <w:rPr>
          <w:sz w:val="18"/>
          <w:szCs w:val="18"/>
        </w:rPr>
      </w:pP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0C396C" w:rsidP="000B3B8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  <w:bookmarkStart w:id="0" w:name="_GoBack"/>
      <w:bookmarkEnd w:id="0"/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9C1421" w:rsidRDefault="009C1421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r w:rsidR="00742266">
        <w:rPr>
          <w:sz w:val="16"/>
          <w:szCs w:val="16"/>
        </w:rPr>
        <w:t>Вальтер Валерия Леонидовна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2AE9"/>
    <w:rsid w:val="00083D0C"/>
    <w:rsid w:val="00084247"/>
    <w:rsid w:val="000A3DFF"/>
    <w:rsid w:val="000B0D86"/>
    <w:rsid w:val="000B14BD"/>
    <w:rsid w:val="000B3B80"/>
    <w:rsid w:val="000C1EAD"/>
    <w:rsid w:val="000C396C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84C4E"/>
    <w:rsid w:val="00190A13"/>
    <w:rsid w:val="001A776A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1FEC"/>
    <w:rsid w:val="003B491C"/>
    <w:rsid w:val="003D3C0F"/>
    <w:rsid w:val="003E02DF"/>
    <w:rsid w:val="003E3120"/>
    <w:rsid w:val="003E7618"/>
    <w:rsid w:val="00401D5C"/>
    <w:rsid w:val="0040368A"/>
    <w:rsid w:val="00404E92"/>
    <w:rsid w:val="00421EB8"/>
    <w:rsid w:val="00423C26"/>
    <w:rsid w:val="004427A7"/>
    <w:rsid w:val="00446C26"/>
    <w:rsid w:val="00455615"/>
    <w:rsid w:val="00462A89"/>
    <w:rsid w:val="004712DE"/>
    <w:rsid w:val="0049613A"/>
    <w:rsid w:val="004A4DF4"/>
    <w:rsid w:val="004B64AF"/>
    <w:rsid w:val="004C50D9"/>
    <w:rsid w:val="004C75DE"/>
    <w:rsid w:val="004F1253"/>
    <w:rsid w:val="00502186"/>
    <w:rsid w:val="005073B7"/>
    <w:rsid w:val="005105E4"/>
    <w:rsid w:val="00516824"/>
    <w:rsid w:val="0052075D"/>
    <w:rsid w:val="005212E2"/>
    <w:rsid w:val="005220D5"/>
    <w:rsid w:val="00523305"/>
    <w:rsid w:val="00524DA3"/>
    <w:rsid w:val="00531FC1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266"/>
    <w:rsid w:val="00742D4E"/>
    <w:rsid w:val="00744CEB"/>
    <w:rsid w:val="00745BFD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A7FA4"/>
    <w:rsid w:val="009B3E93"/>
    <w:rsid w:val="009B659D"/>
    <w:rsid w:val="009C1421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145ED"/>
    <w:rsid w:val="00B216C0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456C2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44FD8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0667"/>
    <w:rsid w:val="00EE2059"/>
    <w:rsid w:val="00EE6A03"/>
    <w:rsid w:val="00F051BE"/>
    <w:rsid w:val="00F05D24"/>
    <w:rsid w:val="00F170D3"/>
    <w:rsid w:val="00F1729B"/>
    <w:rsid w:val="00F55752"/>
    <w:rsid w:val="00F56EC1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C61C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92848-DDFF-41DB-AD21-1887C8878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КУГХ Земля1</cp:lastModifiedBy>
  <cp:revision>22</cp:revision>
  <cp:lastPrinted>2024-12-04T08:18:00Z</cp:lastPrinted>
  <dcterms:created xsi:type="dcterms:W3CDTF">2023-12-21T02:06:00Z</dcterms:created>
  <dcterms:modified xsi:type="dcterms:W3CDTF">2024-12-10T03:55:00Z</dcterms:modified>
</cp:coreProperties>
</file>