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0C396C">
        <w:rPr>
          <w:sz w:val="18"/>
          <w:szCs w:val="18"/>
        </w:rPr>
        <w:t>1</w:t>
      </w:r>
      <w:r w:rsidR="00B145ED">
        <w:rPr>
          <w:sz w:val="18"/>
          <w:szCs w:val="18"/>
        </w:rPr>
        <w:t>9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B145ED">
        <w:rPr>
          <w:sz w:val="18"/>
          <w:szCs w:val="18"/>
        </w:rPr>
        <w:t>4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B145ED">
        <w:rPr>
          <w:sz w:val="18"/>
          <w:szCs w:val="18"/>
        </w:rPr>
        <w:t>20</w:t>
      </w:r>
      <w:r w:rsidR="00B0759B">
        <w:rPr>
          <w:sz w:val="18"/>
          <w:szCs w:val="18"/>
        </w:rPr>
        <w:t>.0</w:t>
      </w:r>
      <w:r w:rsidR="00B145ED">
        <w:rPr>
          <w:sz w:val="18"/>
          <w:szCs w:val="18"/>
        </w:rPr>
        <w:t>5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0C396C" w:rsidRDefault="002D2590" w:rsidP="000C396C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="000C396C" w:rsidRPr="000C396C">
        <w:rPr>
          <w:sz w:val="18"/>
          <w:szCs w:val="18"/>
        </w:rPr>
        <w:t xml:space="preserve">- Республика Бурятия, г. Северобайкальск, </w:t>
      </w:r>
      <w:r w:rsidR="00B145ED">
        <w:rPr>
          <w:sz w:val="18"/>
          <w:szCs w:val="18"/>
        </w:rPr>
        <w:t>ул. Александровская</w:t>
      </w:r>
      <w:r w:rsidR="000C396C" w:rsidRPr="000C396C">
        <w:rPr>
          <w:sz w:val="18"/>
          <w:szCs w:val="18"/>
        </w:rPr>
        <w:t>. Примерная площадь земельного участка в соответствии со схемой расположения земельного участка: 1</w:t>
      </w:r>
      <w:r w:rsidR="00B145ED">
        <w:rPr>
          <w:sz w:val="18"/>
          <w:szCs w:val="18"/>
        </w:rPr>
        <w:t>400</w:t>
      </w:r>
      <w:r w:rsidR="000C396C" w:rsidRPr="000C396C">
        <w:rPr>
          <w:sz w:val="18"/>
          <w:szCs w:val="18"/>
        </w:rPr>
        <w:t xml:space="preserve"> </w:t>
      </w:r>
      <w:proofErr w:type="spellStart"/>
      <w:r w:rsidR="000C396C" w:rsidRPr="000C396C">
        <w:rPr>
          <w:sz w:val="18"/>
          <w:szCs w:val="18"/>
        </w:rPr>
        <w:t>кв.м</w:t>
      </w:r>
      <w:proofErr w:type="spellEnd"/>
      <w:r w:rsidR="000C396C" w:rsidRPr="000C396C">
        <w:rPr>
          <w:sz w:val="18"/>
          <w:szCs w:val="18"/>
        </w:rPr>
        <w:t xml:space="preserve">.  Разрешенное использование: </w:t>
      </w:r>
      <w:bookmarkStart w:id="0" w:name="_Hlk164233704"/>
      <w:r w:rsidR="000C396C" w:rsidRPr="000C396C">
        <w:rPr>
          <w:sz w:val="18"/>
          <w:szCs w:val="18"/>
        </w:rPr>
        <w:t>для индивидуального жилищного строительства.</w:t>
      </w:r>
      <w:bookmarkEnd w:id="0"/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 ул.</w:t>
      </w:r>
      <w:r w:rsidR="00B145ED">
        <w:rPr>
          <w:sz w:val="18"/>
          <w:szCs w:val="18"/>
        </w:rPr>
        <w:t xml:space="preserve"> Звездная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B145ED">
        <w:rPr>
          <w:sz w:val="18"/>
          <w:szCs w:val="18"/>
        </w:rPr>
        <w:t>1000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B145ED" w:rsidRPr="000C396C">
        <w:rPr>
          <w:sz w:val="18"/>
          <w:szCs w:val="18"/>
        </w:rPr>
        <w:t>для индивидуального жилищного строительства.</w:t>
      </w:r>
    </w:p>
    <w:p w:rsidR="009C1421" w:rsidRDefault="009C1421" w:rsidP="009C142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 w:rsidR="00B145ED">
        <w:rPr>
          <w:sz w:val="18"/>
          <w:szCs w:val="18"/>
        </w:rPr>
        <w:t>Звездная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</w:t>
      </w:r>
      <w:r w:rsidR="00B145ED">
        <w:rPr>
          <w:sz w:val="18"/>
          <w:szCs w:val="18"/>
        </w:rPr>
        <w:t>000</w:t>
      </w:r>
      <w:bookmarkStart w:id="1" w:name="_GoBack"/>
      <w:bookmarkEnd w:id="1"/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Pr="002517BA">
        <w:rPr>
          <w:sz w:val="18"/>
          <w:szCs w:val="18"/>
        </w:rPr>
        <w:t>для индивидуального жилищного строительства</w:t>
      </w:r>
      <w:r>
        <w:rPr>
          <w:sz w:val="18"/>
          <w:szCs w:val="18"/>
        </w:rPr>
        <w:t>.</w:t>
      </w:r>
    </w:p>
    <w:p w:rsidR="005607D4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  </w:t>
      </w: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948D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CCEE-2555-42E3-980A-010FEF1C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5</cp:revision>
  <cp:lastPrinted>2023-10-26T02:51:00Z</cp:lastPrinted>
  <dcterms:created xsi:type="dcterms:W3CDTF">2023-12-21T02:06:00Z</dcterms:created>
  <dcterms:modified xsi:type="dcterms:W3CDTF">2024-04-17T00:08:00Z</dcterms:modified>
</cp:coreProperties>
</file>