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45" w:rsidRDefault="00666C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 </w:t>
      </w:r>
    </w:p>
    <w:p w:rsidR="00A82D45" w:rsidRDefault="00666C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Итоги социально-экономического развития муниципального образования «город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Северобайкальск» 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2023 год</w:t>
      </w:r>
    </w:p>
    <w:p w:rsidR="00A82D45" w:rsidRDefault="00A82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2D45" w:rsidRDefault="00666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1. Развитие экономики</w:t>
      </w:r>
    </w:p>
    <w:p w:rsidR="00A82D45" w:rsidRPr="001D7E23" w:rsidRDefault="00666C1F" w:rsidP="001D7E23">
      <w:pPr>
        <w:pStyle w:val="ConsPlusNormal"/>
      </w:pPr>
      <w:r w:rsidRPr="001D7E23">
        <w:t xml:space="preserve">Завершается этап адаптации к изменившимся условиям взаимодействия с внешним миром. 2022 год стал переломным для нашей страны. 24 февраля 2022 года Россия была вынуждена начать специальную военную операцию по защите населения Донбасса, защите государственной безопасности и будущего Российской Федерации. </w:t>
      </w:r>
      <w:r w:rsidR="001D7E23" w:rsidRPr="001D7E23">
        <w:t>Введенные иностранными</w:t>
      </w:r>
      <w:r w:rsidRPr="001D7E23">
        <w:t xml:space="preserve"> государствами санкционные ограничения привели к нарушению логистических связей во внешней торговле, производстве товаров. Внешние условия функционирования российской экономики кардинально изменились. </w:t>
      </w:r>
      <w:proofErr w:type="gramStart"/>
      <w:r w:rsidRPr="001D7E23">
        <w:t>Не смотря</w:t>
      </w:r>
      <w:proofErr w:type="gramEnd"/>
      <w:r w:rsidRPr="001D7E23">
        <w:t xml:space="preserve"> на это </w:t>
      </w:r>
      <w:r w:rsidR="001D7E23" w:rsidRPr="001D7E23">
        <w:t>у</w:t>
      </w:r>
      <w:r w:rsidRPr="001D7E23">
        <w:t xml:space="preserve"> экономики есть ресурсы для обеспечения существенного повышения эффективности производства и темпов экономического роста в средне- и долгосрочной перспективе.</w:t>
      </w:r>
    </w:p>
    <w:p w:rsidR="00A82D45" w:rsidRDefault="00A82D45">
      <w:pPr>
        <w:shd w:val="clear" w:color="auto" w:fill="FFFFFF"/>
        <w:spacing w:after="0" w:line="308" w:lineRule="atLeast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82D45" w:rsidRDefault="00666C1F">
      <w:pPr>
        <w:shd w:val="clear" w:color="auto" w:fill="FFFFFF"/>
        <w:spacing w:after="0" w:line="308" w:lineRule="atLeast"/>
        <w:ind w:firstLine="709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Демография</w:t>
      </w:r>
    </w:p>
    <w:p w:rsidR="00A82D45" w:rsidRDefault="00666C1F" w:rsidP="001D7E23">
      <w:pPr>
        <w:pStyle w:val="ConsPlusNormal"/>
        <w:rPr>
          <w:rStyle w:val="fontstyle01"/>
          <w:rFonts w:ascii="Times New Roman" w:hAnsi="Times New Roman"/>
          <w:sz w:val="24"/>
          <w:szCs w:val="24"/>
        </w:rPr>
      </w:pPr>
      <w:r>
        <w:t xml:space="preserve">По предварительным данным </w:t>
      </w:r>
      <w:proofErr w:type="spellStart"/>
      <w:r>
        <w:t>Бурятстата</w:t>
      </w:r>
      <w:proofErr w:type="spellEnd"/>
      <w:r>
        <w:t xml:space="preserve"> численность населения на 1 января 2024 года составляет 243</w:t>
      </w:r>
      <w:r w:rsidR="001D7E23">
        <w:t>36</w:t>
      </w:r>
      <w:r>
        <w:t xml:space="preserve"> чел., демографическая ситуация характеризуется </w:t>
      </w:r>
      <w:r w:rsidR="001D7E23">
        <w:t>снижением населения</w:t>
      </w:r>
      <w:r>
        <w:t xml:space="preserve"> -</w:t>
      </w:r>
      <w:r w:rsidR="001D7E23">
        <w:t>95</w:t>
      </w:r>
      <w:r>
        <w:t xml:space="preserve"> </w:t>
      </w:r>
      <w:r w:rsidR="001D7E23">
        <w:t>человек (</w:t>
      </w:r>
      <w:r>
        <w:t>99,</w:t>
      </w:r>
      <w:r w:rsidR="001D7E23">
        <w:t>6</w:t>
      </w:r>
      <w:r>
        <w:t xml:space="preserve">% относительно 2022 г.) </w:t>
      </w:r>
      <w:r>
        <w:rPr>
          <w:rStyle w:val="fontstyle01"/>
          <w:rFonts w:ascii="Times New Roman" w:hAnsi="Times New Roman"/>
          <w:sz w:val="24"/>
          <w:szCs w:val="24"/>
        </w:rPr>
        <w:t xml:space="preserve"> за счет миграции и переселения </w:t>
      </w:r>
      <w:r w:rsidR="001D7E23">
        <w:rPr>
          <w:rStyle w:val="fontstyle01"/>
          <w:rFonts w:ascii="Times New Roman" w:hAnsi="Times New Roman"/>
          <w:sz w:val="24"/>
          <w:szCs w:val="24"/>
        </w:rPr>
        <w:t>в</w:t>
      </w:r>
      <w:r>
        <w:rPr>
          <w:rStyle w:val="fontstyle01"/>
          <w:rFonts w:ascii="Times New Roman" w:hAnsi="Times New Roman"/>
          <w:sz w:val="24"/>
          <w:szCs w:val="24"/>
        </w:rPr>
        <w:t xml:space="preserve"> прилегающи</w:t>
      </w:r>
      <w:r w:rsidR="001D7E23">
        <w:rPr>
          <w:rStyle w:val="fontstyle01"/>
          <w:rFonts w:ascii="Times New Roman" w:hAnsi="Times New Roman"/>
          <w:sz w:val="24"/>
          <w:szCs w:val="24"/>
        </w:rPr>
        <w:t>е</w:t>
      </w:r>
      <w:r>
        <w:rPr>
          <w:rStyle w:val="fontstyle01"/>
          <w:rFonts w:ascii="Times New Roman" w:hAnsi="Times New Roman"/>
          <w:sz w:val="24"/>
          <w:szCs w:val="24"/>
        </w:rPr>
        <w:t xml:space="preserve"> район</w:t>
      </w:r>
      <w:r w:rsidR="001D7E23">
        <w:rPr>
          <w:rStyle w:val="fontstyle01"/>
          <w:rFonts w:ascii="Times New Roman" w:hAnsi="Times New Roman"/>
          <w:sz w:val="24"/>
          <w:szCs w:val="24"/>
        </w:rPr>
        <w:t>ы</w:t>
      </w:r>
      <w:r>
        <w:rPr>
          <w:rStyle w:val="fontstyle01"/>
          <w:rFonts w:ascii="Times New Roman" w:hAnsi="Times New Roman"/>
          <w:sz w:val="24"/>
          <w:szCs w:val="24"/>
        </w:rPr>
        <w:t xml:space="preserve">. </w:t>
      </w:r>
    </w:p>
    <w:p w:rsidR="00A82D45" w:rsidRDefault="00666C1F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в 2023 году: родилось – 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147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чел. (2022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 xml:space="preserve"> –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245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), умерло - 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264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чел. (2022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 xml:space="preserve"> – 252</w:t>
      </w:r>
      <w:r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A82D45" w:rsidRDefault="00666C1F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прибыло - 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713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чел. (2022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 xml:space="preserve"> –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846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), выбыло – 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688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чел. (2022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 xml:space="preserve"> –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693</w:t>
      </w:r>
      <w:r>
        <w:rPr>
          <w:rStyle w:val="fontstyle01"/>
          <w:rFonts w:ascii="Times New Roman" w:hAnsi="Times New Roman" w:cs="Times New Roman"/>
          <w:sz w:val="24"/>
          <w:szCs w:val="24"/>
        </w:rPr>
        <w:t>).</w:t>
      </w:r>
    </w:p>
    <w:p w:rsidR="00A82D45" w:rsidRDefault="00666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D45" w:rsidRDefault="00666C1F">
      <w:pPr>
        <w:shd w:val="clear" w:color="auto" w:fill="FFFFFF"/>
        <w:spacing w:after="0" w:line="3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Занятость</w:t>
      </w:r>
      <w:r w:rsidR="001D7E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(рынок труда и доходы населения)</w:t>
      </w:r>
    </w:p>
    <w:p w:rsidR="00A82D45" w:rsidRDefault="00666C1F" w:rsidP="00F346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трудоспособного населения – 15256 человек, численность занятых в экономике города 13528 человек.</w:t>
      </w:r>
    </w:p>
    <w:p w:rsidR="00A82D45" w:rsidRDefault="00666C1F" w:rsidP="00F3466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труда в городе в течение 2023 года развивался в условиях восстановления последствий введения режима ограничительных мероприятий в целях недопущения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 </w:t>
      </w:r>
    </w:p>
    <w:p w:rsidR="00A82D45" w:rsidRDefault="00666C1F" w:rsidP="00F346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конец года в Центре занятости г. </w:t>
      </w:r>
      <w:r w:rsidR="00F3466B">
        <w:rPr>
          <w:rFonts w:ascii="Times New Roman" w:hAnsi="Times New Roman" w:cs="Times New Roman"/>
          <w:sz w:val="24"/>
          <w:szCs w:val="24"/>
        </w:rPr>
        <w:t>Северобайкальск 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41 чел., </w:t>
      </w:r>
      <w:r>
        <w:rPr>
          <w:rFonts w:ascii="Times New Roman" w:hAnsi="Times New Roman" w:cs="Times New Roman"/>
          <w:bCs/>
          <w:sz w:val="24"/>
          <w:szCs w:val="24"/>
        </w:rPr>
        <w:t>что на 2</w:t>
      </w:r>
      <w:r w:rsidR="00F3466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66B">
        <w:rPr>
          <w:rFonts w:ascii="Times New Roman" w:hAnsi="Times New Roman" w:cs="Times New Roman"/>
          <w:bCs/>
          <w:sz w:val="24"/>
          <w:szCs w:val="24"/>
        </w:rPr>
        <w:t>чел.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меньше аналогичного периода 2022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466B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2D45" w:rsidRDefault="00666C1F" w:rsidP="00F3466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Style w:val="fontstyle01"/>
          <w:rFonts w:ascii="Times New Roman" w:hAnsi="Times New Roman" w:cs="Times New Roman"/>
          <w:color w:val="222222"/>
          <w:sz w:val="24"/>
          <w:szCs w:val="24"/>
        </w:rPr>
        <w:t xml:space="preserve">ровень безработицы </w:t>
      </w:r>
      <w:r>
        <w:rPr>
          <w:rStyle w:val="fontstyle01"/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0,2% и сни</w:t>
      </w:r>
      <w:r>
        <w:rPr>
          <w:rStyle w:val="fontstyle01"/>
          <w:rFonts w:ascii="Times New Roman" w:hAnsi="Times New Roman" w:cs="Times New Roman"/>
          <w:sz w:val="24"/>
          <w:szCs w:val="24"/>
        </w:rPr>
        <w:t>зился на 0,</w:t>
      </w:r>
      <w:r w:rsidR="00F3466B">
        <w:rPr>
          <w:rStyle w:val="fontstyle01"/>
          <w:rFonts w:ascii="Times New Roman" w:hAnsi="Times New Roman" w:cs="Times New Roman"/>
          <w:sz w:val="24"/>
          <w:szCs w:val="24"/>
        </w:rPr>
        <w:t>2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% по сравнению с аналогичным периодом 2022 года.</w:t>
      </w:r>
    </w:p>
    <w:p w:rsidR="00A82D45" w:rsidRDefault="00666C1F" w:rsidP="00F3466B">
      <w:pPr>
        <w:pStyle w:val="ConsPlusNormal"/>
        <w:spacing w:before="0"/>
      </w:pPr>
      <w:r>
        <w:t>По состоянию на 31.12.202</w:t>
      </w:r>
      <w:r w:rsidR="00F3466B">
        <w:t>3</w:t>
      </w:r>
      <w:r>
        <w:t xml:space="preserve"> года в муниципальном образовании создано новых рабочих мест - 352 </w:t>
      </w:r>
      <w:r w:rsidR="00F3466B">
        <w:t>(в.</w:t>
      </w:r>
      <w:r>
        <w:t xml:space="preserve"> т.ч. 26 - в рамках самозанятости, 147 временных рабочих мест,79 рабочих мест на постоянной основе), ликвидировано рабочих мест - 26.</w:t>
      </w:r>
    </w:p>
    <w:p w:rsidR="00A82D45" w:rsidRDefault="00666C1F" w:rsidP="00F3466B">
      <w:pPr>
        <w:pStyle w:val="ConsPlusNormal"/>
        <w:spacing w:before="0"/>
      </w:pPr>
      <w:r>
        <w:t>По состоянию на 01.01.2024г. в ГКУ Центр занятости населения» обратилось за содействием в поиске подходящей работы - 321 чел., в банке вакансий 327 вакансий, коэффициент уровня напряженности - 0,1.</w:t>
      </w:r>
    </w:p>
    <w:p w:rsidR="00A82D45" w:rsidRDefault="00666C1F" w:rsidP="00F3466B">
      <w:pPr>
        <w:pStyle w:val="ConsPlusNormal"/>
        <w:spacing w:before="0"/>
      </w:pPr>
      <w:r>
        <w:t>За 2023 год направлены:</w:t>
      </w:r>
    </w:p>
    <w:p w:rsidR="00A82D45" w:rsidRDefault="00666C1F" w:rsidP="00F3466B">
      <w:pPr>
        <w:pStyle w:val="ConsPlusNormal"/>
        <w:spacing w:before="0"/>
      </w:pPr>
      <w:r>
        <w:t xml:space="preserve">- на общественные работы - 35 </w:t>
      </w:r>
      <w:r w:rsidR="00F3466B">
        <w:t>чел.</w:t>
      </w:r>
      <w:r>
        <w:t xml:space="preserve">, </w:t>
      </w:r>
    </w:p>
    <w:p w:rsidR="00A82D45" w:rsidRDefault="00666C1F" w:rsidP="00F3466B">
      <w:pPr>
        <w:pStyle w:val="ConsPlusNormal"/>
        <w:spacing w:before="0"/>
      </w:pPr>
      <w:r>
        <w:t xml:space="preserve">- на профессиональное обучение - 14 </w:t>
      </w:r>
      <w:r w:rsidR="00F3466B">
        <w:t>чел.</w:t>
      </w:r>
      <w:r>
        <w:t xml:space="preserve">, </w:t>
      </w:r>
      <w:r w:rsidR="00F3466B">
        <w:t>прошли</w:t>
      </w:r>
      <w:r>
        <w:t xml:space="preserve"> обучение - 9 чел.,</w:t>
      </w:r>
    </w:p>
    <w:p w:rsidR="00A82D45" w:rsidRDefault="00666C1F" w:rsidP="00F3466B">
      <w:pPr>
        <w:pStyle w:val="ConsPlusNormal"/>
        <w:spacing w:before="0"/>
      </w:pPr>
      <w:r>
        <w:t>В рамках самозанятости экспертной комиссией одобрены 9 бизнес-проектов,</w:t>
      </w:r>
    </w:p>
    <w:p w:rsidR="00A82D45" w:rsidRDefault="00666C1F" w:rsidP="00F3466B">
      <w:pPr>
        <w:pStyle w:val="ConsPlusNormal"/>
        <w:spacing w:before="0"/>
      </w:pPr>
      <w:r>
        <w:t>- проведены 4 городские ярмарки рабочих и учебных мест, межрайонная ярмарка вакансий и 12 мини ярмарок вакантных рабочих мест, в которых приняли участие 55 работодателей, представлено 172 вакансии, получили направление на трудоустройство 55 чел.</w:t>
      </w:r>
    </w:p>
    <w:p w:rsidR="00A82D45" w:rsidRDefault="00A82D45" w:rsidP="001D7E23">
      <w:pPr>
        <w:pStyle w:val="ConsPlusNormal"/>
      </w:pPr>
    </w:p>
    <w:p w:rsidR="00A82D45" w:rsidRDefault="00666C1F" w:rsidP="001D7E23">
      <w:pPr>
        <w:pStyle w:val="ConsPlusNormal"/>
      </w:pPr>
      <w:r>
        <w:lastRenderedPageBreak/>
        <w:t xml:space="preserve">Инвестиции </w:t>
      </w: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2023 г. фактический объем привлеченных инвестиций в объекты города составили </w:t>
      </w:r>
      <w:r w:rsidR="00F3466B">
        <w:rPr>
          <w:rFonts w:ascii="Times New Roman" w:eastAsia="Times New Roman" w:hAnsi="Times New Roman" w:cs="Times New Roman"/>
          <w:sz w:val="24"/>
        </w:rPr>
        <w:t>3264,23</w:t>
      </w:r>
      <w:r>
        <w:rPr>
          <w:rFonts w:ascii="Times New Roman" w:eastAsia="Times New Roman" w:hAnsi="Times New Roman" w:cs="Times New Roman"/>
          <w:sz w:val="24"/>
        </w:rPr>
        <w:t xml:space="preserve"> млн. руб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, что составляет </w:t>
      </w:r>
      <w:r w:rsidR="00F3466B">
        <w:rPr>
          <w:rFonts w:ascii="Times New Roman" w:eastAsia="Times New Roman" w:hAnsi="Times New Roman" w:cs="Times New Roman"/>
          <w:sz w:val="24"/>
        </w:rPr>
        <w:t>273,82</w:t>
      </w:r>
      <w:r>
        <w:rPr>
          <w:rFonts w:ascii="Times New Roman" w:eastAsia="Times New Roman" w:hAnsi="Times New Roman" w:cs="Times New Roman"/>
          <w:sz w:val="24"/>
        </w:rPr>
        <w:t>% к АППГ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Распределение инвестиций по видам бюджетам:</w:t>
      </w:r>
    </w:p>
    <w:p w:rsidR="00A82D45" w:rsidRDefault="00666C1F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(млн. руб.)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1970"/>
        <w:gridCol w:w="1672"/>
        <w:gridCol w:w="1707"/>
      </w:tblGrid>
      <w:tr w:rsidR="00A82D45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D45" w:rsidRDefault="00A82D45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 роста, %</w:t>
            </w:r>
          </w:p>
        </w:tc>
      </w:tr>
      <w:tr w:rsidR="00A82D45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496,78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F3466B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2525,86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F3466B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508,4</w:t>
            </w:r>
          </w:p>
        </w:tc>
      </w:tr>
      <w:tr w:rsidR="00A82D45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инвестиции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695,33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F3466B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738,37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F3466B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106,2</w:t>
            </w:r>
          </w:p>
        </w:tc>
      </w:tr>
      <w:tr w:rsidR="00A82D45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ИТОГО: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666C1F">
            <w:pPr>
              <w:tabs>
                <w:tab w:val="left" w:pos="1418"/>
              </w:tabs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1192,11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F3466B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3264,23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D45" w:rsidRDefault="00F3466B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273,82</w:t>
            </w:r>
          </w:p>
        </w:tc>
      </w:tr>
    </w:tbl>
    <w:p w:rsidR="00A82D45" w:rsidRDefault="00A82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Промышленность</w:t>
      </w: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производства промышленной продукции за отчетный период составил 2275,86</w:t>
      </w:r>
      <w:r w:rsidR="00F346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млн. руб., что составляет 117,8 % к показателю 2022 года (1931 млн. руб.)</w:t>
      </w: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Структура производства в разрезе отраслей выглядит следующим образом: </w:t>
      </w:r>
    </w:p>
    <w:p w:rsidR="00A82D45" w:rsidRDefault="0066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долю производство и распределение электроэнергии, газа и воды приходится –75%, производство пищевых продуктов – 7,6 %, промышленность строительных материалов – 13,2%, обработка древесины и производство изделий из дерева – 0,7 %</w:t>
      </w:r>
    </w:p>
    <w:p w:rsidR="00A82D45" w:rsidRDefault="00A82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Сельское хозяйство</w:t>
      </w:r>
    </w:p>
    <w:p w:rsidR="00A82D45" w:rsidRDefault="0066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Территория города относится к зоне рискованного земледелия, благодаря своему ландшафтному расположению в гористой местности и суровым климатическим условиям, в связи с чем не имеет земель сельскохозяйственного назначения, пастбищных и посевных угодий. </w:t>
      </w:r>
    </w:p>
    <w:p w:rsidR="00A82D45" w:rsidRDefault="00F34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666C1F">
        <w:rPr>
          <w:rFonts w:ascii="Times New Roman" w:eastAsia="Times New Roman" w:hAnsi="Times New Roman" w:cs="Times New Roman"/>
          <w:sz w:val="24"/>
        </w:rPr>
        <w:t xml:space="preserve">бъем продукции сельского хозяйства за 2023 г. составил 22,47 млн. руб., 142,3% к АППГ. </w:t>
      </w:r>
    </w:p>
    <w:p w:rsidR="00A82D45" w:rsidRDefault="00A8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Туризм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A82D45" w:rsidRDefault="0066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течение всего 2023 года все КСР функционируют. Количество туристских прибытий за 2023год составило 22970 ед., что на уровне прошлого года. Объем платных услуг составил 177,44 млн. руб., </w:t>
      </w:r>
      <w:r w:rsidR="00F3466B">
        <w:rPr>
          <w:rFonts w:ascii="Times New Roman" w:eastAsia="Times New Roman" w:hAnsi="Times New Roman" w:cs="Times New Roman"/>
          <w:sz w:val="24"/>
        </w:rPr>
        <w:t>что также</w:t>
      </w:r>
      <w:r>
        <w:rPr>
          <w:rFonts w:ascii="Times New Roman" w:eastAsia="Times New Roman" w:hAnsi="Times New Roman" w:cs="Times New Roman"/>
          <w:sz w:val="24"/>
        </w:rPr>
        <w:t xml:space="preserve"> на уровне АППГ.</w:t>
      </w:r>
    </w:p>
    <w:p w:rsidR="00A82D45" w:rsidRDefault="00A8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82D45" w:rsidRDefault="00A82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A82D45" w:rsidRDefault="0066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Малый бизнес </w:t>
      </w:r>
    </w:p>
    <w:p w:rsidR="00A82D45" w:rsidRDefault="00666C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</w:t>
      </w:r>
      <w:r w:rsidR="00F3466B">
        <w:rPr>
          <w:rFonts w:ascii="Times New Roman" w:hAnsi="Times New Roman" w:cs="Times New Roman"/>
          <w:sz w:val="24"/>
          <w:szCs w:val="24"/>
        </w:rPr>
        <w:t>году по</w:t>
      </w:r>
      <w:r>
        <w:rPr>
          <w:rFonts w:ascii="Times New Roman" w:hAnsi="Times New Roman" w:cs="Times New Roman"/>
          <w:sz w:val="24"/>
          <w:szCs w:val="24"/>
        </w:rPr>
        <w:t xml:space="preserve"> количеству малых и средних предприятий динамика положительная.  </w:t>
      </w:r>
    </w:p>
    <w:p w:rsidR="00A82D45" w:rsidRDefault="0066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состоянию на 01.01.202</w:t>
      </w:r>
      <w:r w:rsidR="00F3466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г. на территории г. Северобайкальск зарегистрировано субъектов малого и среднего предпринимательства 770 (7</w:t>
      </w:r>
      <w:r w:rsidR="00C82B4C">
        <w:rPr>
          <w:rFonts w:ascii="Times New Roman" w:eastAsia="Times New Roman" w:hAnsi="Times New Roman" w:cs="Times New Roman"/>
          <w:sz w:val="24"/>
        </w:rPr>
        <w:t>69</w:t>
      </w:r>
      <w:r>
        <w:rPr>
          <w:rFonts w:ascii="Times New Roman" w:eastAsia="Times New Roman" w:hAnsi="Times New Roman" w:cs="Times New Roman"/>
          <w:sz w:val="24"/>
        </w:rPr>
        <w:t xml:space="preserve"> – 2022г.), в том числе:</w:t>
      </w:r>
    </w:p>
    <w:p w:rsidR="00A82D45" w:rsidRDefault="0066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индивидуальных предпринимателей – 582 (574 – 2022 г.)</w:t>
      </w:r>
    </w:p>
    <w:p w:rsidR="00A82D45" w:rsidRDefault="0066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малых и средних предприятий, включая микропредприятия – 188 (1</w:t>
      </w:r>
      <w:r w:rsidR="00C82B4C">
        <w:rPr>
          <w:rFonts w:ascii="Times New Roman" w:eastAsia="Times New Roman" w:hAnsi="Times New Roman" w:cs="Times New Roman"/>
          <w:sz w:val="24"/>
        </w:rPr>
        <w:t>95</w:t>
      </w:r>
      <w:r>
        <w:rPr>
          <w:rFonts w:ascii="Times New Roman" w:eastAsia="Times New Roman" w:hAnsi="Times New Roman" w:cs="Times New Roman"/>
          <w:sz w:val="24"/>
        </w:rPr>
        <w:t xml:space="preserve"> – 2022 г.).</w:t>
      </w:r>
    </w:p>
    <w:p w:rsidR="00A82D45" w:rsidRDefault="00666C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занятых на малых и средних предприятиях в отчетном году составила 1989 человек (105,3% к предыдущему году). </w:t>
      </w:r>
    </w:p>
    <w:p w:rsidR="00A82D45" w:rsidRDefault="00666C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развития предпринимательства в моногороде в рамках Муниципальной программы «Экономическое развитие г. Северобайкальск на 2020-2026 годы» реализуется муниципальная подпрограмма «Поддержка и развитие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Северобайкальск», предусматривающая в 2023 году следующие мероприятия с финансированием:</w:t>
      </w:r>
    </w:p>
    <w:p w:rsidR="00A82D45" w:rsidRDefault="00666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гранты в форме субсидий на поддержку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молодежного и социального предпринимательства.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молодых предпринимателя – на общую сумму 300 тыс. руб., 1 социальный предприниматель – 100 тыс. руб. </w:t>
      </w:r>
    </w:p>
    <w:p w:rsidR="00A82D45" w:rsidRDefault="00666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предоставлены субсидии на компенсацию расходов предприятий, оказывающих услуги по перевозке пассажиров по муниципальным маршрутам на общую сумму 2 млн. 310 тыс. руб. </w:t>
      </w:r>
      <w:r>
        <w:rPr>
          <w:rFonts w:ascii="Times New Roman" w:eastAsia="Calibri" w:hAnsi="Times New Roman" w:cs="Times New Roman"/>
          <w:sz w:val="24"/>
          <w:szCs w:val="24"/>
        </w:rPr>
        <w:t>(43,7% к АППГ, в 202</w:t>
      </w:r>
      <w:r w:rsidR="00C82B4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5,3 млн. руб.). </w:t>
      </w:r>
    </w:p>
    <w:p w:rsidR="00A82D45" w:rsidRDefault="00666C1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Предоставление поддержки субъектов малого предпринимательства через инфраструктуру поддержки Республики Бурятия:</w:t>
      </w:r>
    </w:p>
    <w:p w:rsidR="00A82D45" w:rsidRDefault="00666C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Субсидии и гранты:  </w:t>
      </w:r>
    </w:p>
    <w:p w:rsidR="00A82D45" w:rsidRDefault="00666C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Министерство туризма Республики Бурятия – 131,5 тыс. руб. </w:t>
      </w:r>
    </w:p>
    <w:p w:rsidR="00A82D45" w:rsidRDefault="00666C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Микрозаймы: Фонд поддержки и развития малого предпринимательства Республики Бурятия – 15 млн. по ставкам от 3,75 до 10% годовых (на пополнение оборотных средств и капитальные вложения).</w:t>
      </w:r>
    </w:p>
    <w:p w:rsidR="00A82D45" w:rsidRDefault="00666C1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 перечень муниципального имущества, предназначенного для предоставления во владение и пользование субъектам малого предпринимательства, в соответствии с которым, 19 субъектам малого и среднего бизнеса предоставлены в аренду муниципальные площади. Всего в указанном перечне содержится 26 объектов. </w:t>
      </w:r>
    </w:p>
    <w:p w:rsidR="00A82D45" w:rsidRDefault="00666C1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уплаты земельного налога освобождены: субъекты малого и среднего предпринимательства и самозанятые, являющиеся социальными предприятиями - в отношении земельных участков, используемых для осуществления предпринимательской деятельности в сфере социального предпринимательства.</w:t>
      </w:r>
    </w:p>
    <w:p w:rsidR="00A82D45" w:rsidRDefault="00A8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C82B4C">
        <w:rPr>
          <w:rFonts w:ascii="Times New Roman" w:eastAsia="Times New Roman" w:hAnsi="Times New Roman" w:cs="Times New Roman"/>
          <w:b/>
          <w:sz w:val="28"/>
        </w:rPr>
        <w:t>Социальная сфера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82D45" w:rsidRDefault="00A82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Культура и искусство </w:t>
      </w:r>
    </w:p>
    <w:p w:rsidR="00A82D45" w:rsidRDefault="0066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платных услуг за 2023 год составил 10 727,</w:t>
      </w:r>
      <w:r w:rsidR="00C82B4C">
        <w:rPr>
          <w:rFonts w:ascii="Times New Roman" w:hAnsi="Times New Roman" w:cs="Times New Roman"/>
          <w:sz w:val="24"/>
          <w:szCs w:val="24"/>
        </w:rPr>
        <w:t>16 тыс.</w:t>
      </w:r>
      <w:r>
        <w:rPr>
          <w:rFonts w:ascii="Times New Roman" w:hAnsi="Times New Roman" w:cs="Times New Roman"/>
          <w:sz w:val="24"/>
          <w:szCs w:val="24"/>
        </w:rPr>
        <w:t xml:space="preserve"> руб., что составило 87,7 % от годового плана 12 222,93 тыс. руб. За аналогичный период 2022 года – 8 494,81 тыс. руб.</w:t>
      </w:r>
    </w:p>
    <w:p w:rsidR="00A82D45" w:rsidRDefault="0066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Посещаемость Музейно-выставочного комплекса за 2023 год – 10 519 чел. (102% от годового плана). За 2022 год –</w:t>
      </w:r>
      <w:r w:rsidR="00C82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10 102 чел. </w:t>
      </w:r>
    </w:p>
    <w:p w:rsidR="00A82D45" w:rsidRDefault="00666C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Показатель «Обеспеченность библиотеками, % от нормативной потребности» составляет 50</w:t>
      </w:r>
      <w:r w:rsidR="00C82B4C">
        <w:rPr>
          <w:color w:val="000000"/>
        </w:rPr>
        <w:t>% (</w:t>
      </w:r>
      <w:r>
        <w:rPr>
          <w:color w:val="000000"/>
        </w:rPr>
        <w:t>три библиотеки: городская массовая библиотека, библиотека микрорайона Заречный (МАУК «Централизованная библиотечная система»)).</w:t>
      </w:r>
    </w:p>
    <w:p w:rsidR="00A82D45" w:rsidRDefault="00666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клубных формирований за 2023 составляет 23 единиц (100% от годового плана – 23). Число участников клубных формирований за 2023 год – 589 (100% от годового плана 589 участников). За 2022 год численность участников клубных формирований составило 562 человека.</w:t>
      </w:r>
    </w:p>
    <w:p w:rsidR="00A82D45" w:rsidRDefault="00666C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proofErr w:type="spellStart"/>
      <w:r>
        <w:rPr>
          <w:color w:val="000000"/>
        </w:rPr>
        <w:t>исленность</w:t>
      </w:r>
      <w:proofErr w:type="spellEnd"/>
      <w:r>
        <w:rPr>
          <w:color w:val="000000"/>
        </w:rPr>
        <w:t xml:space="preserve"> занятых (основных работников) в учреждениях культуры, в том числе «Детская школа искусств», за 2023 год составляет 118 человек, из них «Детская школа искусств» 52 человека. В 2022 году численность занятых (основных работников) в учреждениях культуры составила 123 человек, из них «Детская школа искусств» - 59 человек. </w:t>
      </w:r>
    </w:p>
    <w:p w:rsidR="00A82D45" w:rsidRDefault="00666C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 xml:space="preserve">Среднемесячная заработная плата за 2023 год составила 61 562,00 рублей, за 2022 год – 60 298,00 рублей. </w:t>
      </w:r>
    </w:p>
    <w:p w:rsidR="00A82D45" w:rsidRDefault="00666C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Среднемесячная заработная плата педагогических работников за 2023 год составила 67 339,00 рублей,</w:t>
      </w:r>
      <w:r>
        <w:t xml:space="preserve"> </w:t>
      </w:r>
      <w:r>
        <w:rPr>
          <w:color w:val="000000"/>
        </w:rPr>
        <w:t>в 2022 году – 66 530,00 рублей.</w:t>
      </w:r>
    </w:p>
    <w:p w:rsidR="00A82D45" w:rsidRDefault="00666C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Показатель «Обеспеченность культурно-досуговыми учреждениями, % от нормативной потребности» за 2023 год составляет 50% из расчёта показателя – 1 культурно-досуговое учреждение на 20 000 человек населения.</w:t>
      </w:r>
    </w:p>
    <w:p w:rsidR="00A82D45" w:rsidRDefault="00666C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 xml:space="preserve">Обеспеченность посадочными местами (% от нормативной потребности) составляет 25%, так как в 2019 году обеспеченность достигалась за счёт концертного зала ДК «Байкал» (300 посадочных мест) и актового зала администрации (200 посадочных мест), находящихся в оперативном управлении МАУК «Культурно-досуговое объединение». В связи с тем, что актовый зал администрации переоснащён в помещение </w:t>
      </w:r>
      <w:r>
        <w:rPr>
          <w:color w:val="000000"/>
        </w:rPr>
        <w:lastRenderedPageBreak/>
        <w:t>кинозала, обеспеченность посадочными местами достигается за счёт концертного зала ДК «Байкал» (300 посадочных мест), и значение показателя равно 25%.</w:t>
      </w:r>
    </w:p>
    <w:p w:rsidR="00A82D45" w:rsidRDefault="00A82D4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D45" w:rsidRDefault="00666C1F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Образование</w:t>
      </w:r>
    </w:p>
    <w:p w:rsidR="00A82D45" w:rsidRDefault="00666C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Участников ЕГЭ в 2023 году – 165 выпускников 11 классов. Сдали ЕГЭ и получили аттестат 159 учеников. Не прошли государственную итоговую аттестацию, не преодолев минимальный порог по математике – 6 учеников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программы по показателю- 96%</w:t>
      </w:r>
    </w:p>
    <w:p w:rsidR="00A82D45" w:rsidRDefault="00A82D4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D45" w:rsidRDefault="00666C1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A82D45" w:rsidRDefault="00666C1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образование в МО «город Северобайкальск» представлено </w:t>
      </w:r>
      <w:r w:rsidR="00C82B4C">
        <w:rPr>
          <w:rFonts w:ascii="Times New Roman" w:eastAsia="Times New Roman" w:hAnsi="Times New Roman" w:cs="Times New Roman"/>
          <w:sz w:val="24"/>
          <w:szCs w:val="24"/>
        </w:rPr>
        <w:t>пятью муниципальными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дошкольными организациями и 1 частный детский сад ОАО «РЖД».  В МО «город Северобайкальск» охват дошкольным образованием детей в возрасте от 3-х до 7 лет, включительно, составляет 100%. Количество детей, посещающих детский сад (от 1 года до 6 лет) 1130 чел. общее количество детей дошкольного возраста (от 1 года до 6 </w:t>
      </w:r>
      <w:r w:rsidR="00C82B4C">
        <w:rPr>
          <w:rFonts w:ascii="Times New Roman" w:eastAsia="Times New Roman" w:hAnsi="Times New Roman" w:cs="Times New Roman"/>
          <w:sz w:val="24"/>
          <w:szCs w:val="24"/>
        </w:rPr>
        <w:t>лет) 1616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</w:p>
    <w:p w:rsidR="00A82D45" w:rsidRDefault="00A82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82D45" w:rsidRDefault="00666C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Развитие инфраструктуры</w:t>
      </w:r>
    </w:p>
    <w:p w:rsidR="00A82D45" w:rsidRDefault="00A82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Строительство </w:t>
      </w:r>
    </w:p>
    <w:p w:rsidR="00A82D45" w:rsidRDefault="00666C1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 жилья в 2023 году составил 4475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2D45" w:rsidRDefault="00666C1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 ввод: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  по уведомлению о соответствии построенных или реконструируемых объектов ИЖС площадью – 182,3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5 индивидуальных жилых домов;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без уведомлений о соответствии построенных или реконструируемых объектов ИЖС введено площадью – 4292,7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33 индивидуальных жилых домов.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разрешительной документации: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- 41 уведомлений на планируемое строительство </w:t>
      </w:r>
      <w:r w:rsidR="00C82B4C">
        <w:rPr>
          <w:rFonts w:ascii="Times New Roman" w:hAnsi="Times New Roman"/>
          <w:sz w:val="24"/>
          <w:szCs w:val="24"/>
        </w:rPr>
        <w:t>индивидуальных жилых</w:t>
      </w:r>
      <w:r>
        <w:rPr>
          <w:rFonts w:ascii="Times New Roman" w:hAnsi="Times New Roman"/>
          <w:sz w:val="24"/>
          <w:szCs w:val="24"/>
        </w:rPr>
        <w:t xml:space="preserve"> домов;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уведомления на планируемое строительство садового дома;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- 11 уведомлений на рекон886струкцию </w:t>
      </w:r>
      <w:r w:rsidR="00C82B4C">
        <w:rPr>
          <w:rFonts w:ascii="Times New Roman" w:hAnsi="Times New Roman"/>
          <w:sz w:val="24"/>
          <w:szCs w:val="24"/>
        </w:rPr>
        <w:t>индивидуальных жилых</w:t>
      </w:r>
      <w:r>
        <w:rPr>
          <w:rFonts w:ascii="Times New Roman" w:hAnsi="Times New Roman"/>
          <w:sz w:val="24"/>
          <w:szCs w:val="24"/>
        </w:rPr>
        <w:t xml:space="preserve"> домов;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 разрешения на строительство;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уведомления о соответствии построенных или реконструируемых объектов ИЖС или садовых домов;</w:t>
      </w:r>
    </w:p>
    <w:p w:rsidR="00A82D45" w:rsidRDefault="00666C1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- 8 разрешения на ввод объектов в эксплуатацию (нежилое здание);</w:t>
      </w:r>
    </w:p>
    <w:p w:rsidR="00A82D45" w:rsidRDefault="00666C1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- 19 </w:t>
      </w:r>
      <w:r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участков.</w:t>
      </w:r>
    </w:p>
    <w:p w:rsidR="00A82D45" w:rsidRDefault="00A82D4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D45" w:rsidRDefault="00666C1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Жилищно-коммунальное хозяйство</w:t>
      </w:r>
    </w:p>
    <w:p w:rsidR="00A82D45" w:rsidRDefault="00666C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жилого фонда муниципального образования «город Северобайкальск» составляет </w:t>
      </w:r>
      <w:r>
        <w:rPr>
          <w:rFonts w:ascii="Times New Roman" w:hAnsi="Times New Roman" w:cs="Times New Roman"/>
          <w:sz w:val="24"/>
          <w:szCs w:val="24"/>
        </w:rPr>
        <w:t xml:space="preserve">615,52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A82D45" w:rsidRDefault="00666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многоквартирных домах – 358,32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D45" w:rsidRDefault="00666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домах блокированной застройки – 154,14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D45" w:rsidRDefault="00666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индивидуальных жилых домах – 103,06 тыс.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D45" w:rsidRDefault="00666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Аварийный и непригодный </w:t>
      </w:r>
      <w:r w:rsidR="00C82B4C">
        <w:rPr>
          <w:rFonts w:ascii="Times New Roman" w:hAnsi="Times New Roman" w:cs="Times New Roman"/>
          <w:sz w:val="24"/>
          <w:szCs w:val="24"/>
        </w:rPr>
        <w:t>жилой фонд</w:t>
      </w:r>
      <w:r>
        <w:rPr>
          <w:rFonts w:ascii="Times New Roman" w:hAnsi="Times New Roman" w:cs="Times New Roman"/>
          <w:sz w:val="24"/>
          <w:szCs w:val="24"/>
        </w:rPr>
        <w:t xml:space="preserve"> составляет 26,39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2D45" w:rsidRDefault="00A82D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82D45" w:rsidRDefault="00666C1F">
      <w:pPr>
        <w:shd w:val="clear" w:color="auto" w:fill="FFFFFF"/>
        <w:spacing w:line="253" w:lineRule="atLeast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Нуждающиеся в улучшении жилищных условий</w:t>
      </w:r>
    </w:p>
    <w:p w:rsidR="00A82D45" w:rsidRDefault="00666C1F">
      <w:pPr>
        <w:shd w:val="clear" w:color="auto" w:fill="FFFFFF"/>
        <w:spacing w:line="253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По состоянию на </w:t>
      </w:r>
      <w:r w:rsidR="00C82B4C">
        <w:rPr>
          <w:rFonts w:ascii="Times New Roman" w:hAnsi="Times New Roman" w:cs="Times New Roman"/>
          <w:color w:val="333333"/>
          <w:sz w:val="24"/>
          <w:szCs w:val="24"/>
        </w:rPr>
        <w:t>01.01.2024 года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списках </w:t>
      </w:r>
      <w:r w:rsidR="00C82B4C">
        <w:rPr>
          <w:rFonts w:ascii="Times New Roman" w:hAnsi="Times New Roman" w:cs="Times New Roman"/>
          <w:color w:val="333333"/>
          <w:sz w:val="24"/>
          <w:szCs w:val="24"/>
        </w:rPr>
        <w:t>граждан,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признанных в установленном порядке, нуждающимися в жилых помещениях, предоставляемых по договорам социального найма, числится 375 семей. На общих основаниях 355 семей, 4 семьи в категории </w:t>
      </w:r>
      <w:r w:rsidR="00C82B4C">
        <w:rPr>
          <w:rFonts w:ascii="Times New Roman" w:hAnsi="Times New Roman" w:cs="Times New Roman"/>
          <w:color w:val="333333"/>
          <w:sz w:val="24"/>
          <w:szCs w:val="24"/>
        </w:rPr>
        <w:t>«инвалиды»,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имеющие право на предоставление отдельного жилого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помещения, 0 - Ветеран боевых действий, вставший на учет после 01.01.2005 года и 28 в категории «Молодая семья»</w:t>
      </w:r>
    </w:p>
    <w:p w:rsidR="00A82D45" w:rsidRDefault="00666C1F">
      <w:pPr>
        <w:pStyle w:val="1"/>
        <w:spacing w:before="0" w:beforeAutospacing="0" w:after="0" w:afterAutospacing="0"/>
        <w:ind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Молодая семья</w:t>
      </w:r>
    </w:p>
    <w:p w:rsidR="00A82D45" w:rsidRDefault="00666C1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соответствии с Постановлением Правительства Российской Федерации от 17.12.2010г. № 1050 о реализации отдельных мероприятий государственных программ в 2022 году в муниципальном образовании «город Северобайкальск» выдано 3 сертификатов, участникам подпрограммы «Обеспечение жильем молодых семей» государственной программы  «Обеспечение доступным и комфортным жильем и коммунальными услугами граждан РФ» на общую сумму </w:t>
      </w:r>
      <w:r>
        <w:rPr>
          <w:b w:val="0"/>
          <w:sz w:val="24"/>
          <w:szCs w:val="24"/>
        </w:rPr>
        <w:t>7 419 498,8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руб. </w:t>
      </w:r>
    </w:p>
    <w:p w:rsidR="00A82D45" w:rsidRDefault="00A82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D45" w:rsidRDefault="00666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Капитальный ремонт МКД</w:t>
      </w:r>
    </w:p>
    <w:p w:rsidR="00A82D45" w:rsidRDefault="00A8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D45" w:rsidRDefault="00666C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Северобайкальск, </w:t>
      </w:r>
      <w:r>
        <w:rPr>
          <w:rFonts w:ascii="Times New Roman" w:hAnsi="Times New Roman" w:cs="Times New Roman"/>
          <w:b/>
          <w:sz w:val="24"/>
          <w:szCs w:val="24"/>
        </w:rPr>
        <w:t>ул. Промышленная, д.5</w:t>
      </w:r>
      <w:r>
        <w:rPr>
          <w:rFonts w:ascii="Times New Roman" w:hAnsi="Times New Roman" w:cs="Times New Roman"/>
          <w:sz w:val="24"/>
          <w:szCs w:val="24"/>
        </w:rPr>
        <w:t xml:space="preserve"> - Ремонт системы канализации и водоотведения </w:t>
      </w:r>
    </w:p>
    <w:p w:rsidR="00A82D45" w:rsidRDefault="00A82D4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2D45" w:rsidRDefault="00666C1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ремонт системы водоотведения </w:t>
      </w:r>
      <w:r>
        <w:rPr>
          <w:rFonts w:ascii="Times New Roman" w:hAnsi="Times New Roman" w:cs="Times New Roman"/>
          <w:sz w:val="24"/>
          <w:szCs w:val="24"/>
        </w:rPr>
        <w:tab/>
        <w:t>Договор подряда: с ОБЩЕСТВО С ОГРАНИЧЕННОЙ ОТВЕТСТВЕННОСТЬЮ "АНГАРАСТРОЙТЕХКОМПЛЕКТ" № 2ЕП/22-ПД/КП22 от 02.11.2022 г. на сумму 18 295.75 руб.</w:t>
      </w:r>
    </w:p>
    <w:p w:rsidR="00A82D45" w:rsidRDefault="00666C1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системы водоотведения</w:t>
      </w:r>
      <w:r>
        <w:rPr>
          <w:rFonts w:ascii="Times New Roman" w:hAnsi="Times New Roman" w:cs="Times New Roman"/>
          <w:sz w:val="24"/>
          <w:szCs w:val="24"/>
        </w:rPr>
        <w:tab/>
        <w:t>Договор подряда:</w:t>
      </w:r>
      <w:r>
        <w:rPr>
          <w:rFonts w:ascii="Times New Roman" w:hAnsi="Times New Roman" w:cs="Times New Roman"/>
          <w:sz w:val="24"/>
          <w:szCs w:val="24"/>
        </w:rPr>
        <w:tab/>
        <w:t xml:space="preserve">с Индивидуальный предприниматель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Подкорытов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Викторович № 29СМР/23/КП23 от 10.03.2023 г. на сумму 106 443.18 руб.</w:t>
      </w:r>
    </w:p>
    <w:p w:rsidR="00A82D45" w:rsidRDefault="00666C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Северобайкальск, </w:t>
      </w:r>
      <w:r>
        <w:rPr>
          <w:rFonts w:ascii="Times New Roman" w:hAnsi="Times New Roman" w:cs="Times New Roman"/>
          <w:b/>
          <w:sz w:val="24"/>
          <w:szCs w:val="24"/>
        </w:rPr>
        <w:t>ул. Промышленная, д.7</w:t>
      </w:r>
      <w:r>
        <w:rPr>
          <w:rFonts w:ascii="Times New Roman" w:hAnsi="Times New Roman" w:cs="Times New Roman"/>
          <w:sz w:val="24"/>
          <w:szCs w:val="24"/>
        </w:rPr>
        <w:t xml:space="preserve"> - Ремонт системы канализации и водоотведения </w:t>
      </w:r>
    </w:p>
    <w:p w:rsidR="00A82D45" w:rsidRDefault="00666C1F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ремонт системы водоотведения </w:t>
      </w:r>
      <w:r>
        <w:rPr>
          <w:rFonts w:ascii="Times New Roman" w:hAnsi="Times New Roman" w:cs="Times New Roman"/>
          <w:sz w:val="24"/>
          <w:szCs w:val="24"/>
        </w:rPr>
        <w:tab/>
        <w:t>Договор подряда: с ОБЩЕСТВО С ОГРАНИЧЕННОЙ ОТВЕТСТВЕННОСТЬЮ "АНГАРАСТРОЙТЕХКОМПЛЕКТ" № 2ЕП/22-ПД/КП22 от 02.11.2022 г. на сумму 17 468.56 руб.</w:t>
      </w:r>
    </w:p>
    <w:p w:rsidR="00A82D45" w:rsidRDefault="00A82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2D45" w:rsidRDefault="00666C1F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системы водоотведения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Договор подряда: с Индивидуальный предприниматель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Подкорытов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Викторович № 29СМР/23/КП23 от 10.03.2023 г. на сумму 101 715.89 руб.</w:t>
      </w:r>
    </w:p>
    <w:p w:rsidR="00A82D45" w:rsidRDefault="00A82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2D45" w:rsidRDefault="00666C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г. Северобайкальск, </w:t>
      </w:r>
      <w:r>
        <w:rPr>
          <w:rFonts w:ascii="Times New Roman" w:hAnsi="Times New Roman" w:cs="Times New Roman"/>
          <w:b/>
          <w:sz w:val="24"/>
          <w:szCs w:val="24"/>
        </w:rPr>
        <w:t>ул. Парковая, д. 1</w:t>
      </w:r>
      <w:r>
        <w:rPr>
          <w:rFonts w:ascii="Times New Roman" w:hAnsi="Times New Roman" w:cs="Times New Roman"/>
          <w:sz w:val="24"/>
          <w:szCs w:val="24"/>
        </w:rPr>
        <w:t xml:space="preserve"> - Ремонт системы электроснабжения</w:t>
      </w:r>
    </w:p>
    <w:p w:rsidR="00A82D45" w:rsidRDefault="00666C1F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проектной документации на ремонт системы электроснабжения Договор подряда:</w:t>
      </w:r>
      <w:r>
        <w:rPr>
          <w:rFonts w:ascii="Times New Roman" w:hAnsi="Times New Roman" w:cs="Times New Roman"/>
          <w:sz w:val="24"/>
          <w:szCs w:val="24"/>
        </w:rPr>
        <w:tab/>
        <w:t>с ОБЩЕСТВО С ОГРАНИЧЕННОЙ ОТВЕТСТВЕННОСТЬЮ "АНГАРАСТРОЙТЕХКОМПЛЕКТ" № 17ПД/22/КП22 от 26.09.2022 г. на сумму 144 908.40 руб.</w:t>
      </w:r>
    </w:p>
    <w:p w:rsidR="00A82D45" w:rsidRDefault="00666C1F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системы электроснабжения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Договор подряда: с Индивидуальный предприниматель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Подкорытов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Викторович № 29СМР/23/КП23 от 10.03.2023 г. на сумму 4 764 589.86 руб.</w:t>
      </w:r>
    </w:p>
    <w:p w:rsidR="00A82D45" w:rsidRDefault="00A82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D45" w:rsidRDefault="00666C1F">
      <w:pPr>
        <w:pStyle w:val="a7"/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Переселение из аварийного жилищного фонда</w:t>
      </w:r>
    </w:p>
    <w:p w:rsidR="00A82D45" w:rsidRDefault="00666C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31.12.2023г. в Региональную адресную программу Республики Бурятия  утвержденную П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Республики Бурятия от 05.04.2019 № 170 «Об утверждении Региональной адресной программы Республики Бурятия по переселению граждан из аварийного жилищного фонда, признанного таковым до 1 января 2017 года, на период 2019 - 2024 годов» включено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дома общей площадью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12 570,92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квадратных метров. </w:t>
      </w:r>
    </w:p>
    <w:p w:rsidR="00A82D45" w:rsidRDefault="00666C1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программе начато строительство 2 многоквартирных домов, общей площадью 6,13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в которых будут проживать 137 семей. Всего в период реализации программы 109 семей получили выкупную стоимость за аварийное жилье, в т.ч. 8 семей в 2023 году.</w:t>
      </w:r>
    </w:p>
    <w:p w:rsidR="00A82D45" w:rsidRDefault="00666C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Переселение из аварийного и непригодного жилья в зоне БАМ</w:t>
      </w:r>
    </w:p>
    <w:p w:rsidR="00A82D45" w:rsidRDefault="00A82D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D45" w:rsidRDefault="00666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мероприятий Подпрограммы: «Переселение граждан из жилых помещений, расположенных в зоне БАМа, признанных непригодными для проживания, и из жилых домов, (помещений), признанными аварийными и не подлежащими реконструкции» в рамках Государственной программы Республики Бурятия «Развитие строительного и жилищно-коммунального комплексов Республики Бурятия, утвержденной постановлением Правительства Республики Бурятия от 02.08.2013г № 424 администрацией муниципального образования «город Северобайкальск» в 2023 году соглашением предусмотрено </w:t>
      </w:r>
      <w:r>
        <w:rPr>
          <w:rFonts w:ascii="Times New Roman" w:hAnsi="Times New Roman" w:cs="Times New Roman"/>
          <w:b/>
          <w:bCs/>
          <w:sz w:val="24"/>
          <w:szCs w:val="24"/>
        </w:rPr>
        <w:t>58 206 650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A82D45" w:rsidRDefault="00666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очередностью расселения многоквартирных домов, признанных в установленном порядке аварийными и подлежащими сносу, и жилых помещений, признанных непригодными для проживания, расположенных в зоне Байкало-Амурской магистрали на территории МО «город Северобайкальск» за 2023 год социальную выплату получили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семей, расселено </w:t>
      </w:r>
      <w:r>
        <w:rPr>
          <w:rFonts w:ascii="Times New Roman" w:hAnsi="Times New Roman" w:cs="Times New Roman"/>
          <w:b/>
          <w:bCs/>
          <w:sz w:val="24"/>
          <w:szCs w:val="24"/>
        </w:rPr>
        <w:t>861,9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аварийного и непригодного для проживания жилья.</w:t>
      </w:r>
    </w:p>
    <w:p w:rsidR="00A82D45" w:rsidRDefault="00A82D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2D45" w:rsidRDefault="0066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Транспорт и транспортная инфраструктура</w:t>
      </w:r>
    </w:p>
    <w:p w:rsidR="00A82D45" w:rsidRDefault="00666C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Грузооборот транспорта составит 2,05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млн.тонно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-км. (без учета объема перевозок по железной дороге). Пассажирооборот (без пассажирооборота по железной дороге) 4,72 млн. пасс-км. Численность занятых </w:t>
      </w:r>
      <w:r w:rsidR="00C82B4C">
        <w:rPr>
          <w:rFonts w:ascii="Times New Roman" w:eastAsia="Times New Roman" w:hAnsi="Times New Roman" w:cs="Times New Roman"/>
          <w:sz w:val="24"/>
        </w:rPr>
        <w:t>в сфере –</w:t>
      </w:r>
      <w:r>
        <w:rPr>
          <w:rFonts w:ascii="Times New Roman" w:eastAsia="Times New Roman" w:hAnsi="Times New Roman" w:cs="Times New Roman"/>
          <w:sz w:val="24"/>
        </w:rPr>
        <w:t xml:space="preserve"> 3</w:t>
      </w:r>
      <w:r w:rsidR="00C82B4C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87 человек.</w:t>
      </w:r>
    </w:p>
    <w:p w:rsidR="00A82D45" w:rsidRPr="00666C1F" w:rsidRDefault="00666C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Услуги по перевозке пассажиров автотранспортом общего пользования на территории муниципального образования «город Северобайкальск» осуществляются по городским маршрутам на основании проведенного конкурсного отбора перевозчиков. Перевозчики: ООО «Районные маршруты», ООО «Автоэкспресс+» осуществляют коммерческие перевозки по 2 регулярным маршрутам в соответствии с </w:t>
      </w:r>
      <w:r w:rsidR="00C82B4C">
        <w:rPr>
          <w:rFonts w:ascii="Times New Roman" w:eastAsia="Times New Roman" w:hAnsi="Times New Roman" w:cs="Times New Roman"/>
          <w:sz w:val="24"/>
        </w:rPr>
        <w:t>заключенными договорами</w:t>
      </w:r>
      <w:r>
        <w:rPr>
          <w:rFonts w:ascii="Times New Roman" w:eastAsia="Times New Roman" w:hAnsi="Times New Roman" w:cs="Times New Roman"/>
          <w:sz w:val="24"/>
        </w:rPr>
        <w:t xml:space="preserve">. Также услуги перевозки пассажиров оказывают частные перевозчики такси, которые составляют значительную конкуренцию общественному транспорту. </w:t>
      </w:r>
    </w:p>
    <w:sectPr w:rsidR="00A82D45" w:rsidRPr="0066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45" w:rsidRDefault="00666C1F">
      <w:pPr>
        <w:spacing w:line="240" w:lineRule="auto"/>
      </w:pPr>
      <w:r>
        <w:separator/>
      </w:r>
    </w:p>
  </w:endnote>
  <w:endnote w:type="continuationSeparator" w:id="0">
    <w:p w:rsidR="00A82D45" w:rsidRDefault="00666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45" w:rsidRDefault="00666C1F">
      <w:pPr>
        <w:spacing w:after="0"/>
      </w:pPr>
      <w:r>
        <w:separator/>
      </w:r>
    </w:p>
  </w:footnote>
  <w:footnote w:type="continuationSeparator" w:id="0">
    <w:p w:rsidR="00A82D45" w:rsidRDefault="00666C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5D1A"/>
    <w:multiLevelType w:val="multilevel"/>
    <w:tmpl w:val="69A05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6A"/>
    <w:rsid w:val="00017284"/>
    <w:rsid w:val="000531C6"/>
    <w:rsid w:val="000870E1"/>
    <w:rsid w:val="000E116D"/>
    <w:rsid w:val="000F0BC3"/>
    <w:rsid w:val="00131846"/>
    <w:rsid w:val="00156A20"/>
    <w:rsid w:val="001771CE"/>
    <w:rsid w:val="001A6ACB"/>
    <w:rsid w:val="001D7E23"/>
    <w:rsid w:val="003210FD"/>
    <w:rsid w:val="0033264D"/>
    <w:rsid w:val="00390CC2"/>
    <w:rsid w:val="003B0321"/>
    <w:rsid w:val="003B1EC1"/>
    <w:rsid w:val="00405B4D"/>
    <w:rsid w:val="0042310E"/>
    <w:rsid w:val="004760E8"/>
    <w:rsid w:val="004A2385"/>
    <w:rsid w:val="004A3AFF"/>
    <w:rsid w:val="004D068C"/>
    <w:rsid w:val="0052307A"/>
    <w:rsid w:val="00596440"/>
    <w:rsid w:val="005B7E66"/>
    <w:rsid w:val="005C3FA1"/>
    <w:rsid w:val="00604C78"/>
    <w:rsid w:val="00626501"/>
    <w:rsid w:val="00655E6A"/>
    <w:rsid w:val="00666C1F"/>
    <w:rsid w:val="006C0FD4"/>
    <w:rsid w:val="006F76D5"/>
    <w:rsid w:val="00705197"/>
    <w:rsid w:val="00713998"/>
    <w:rsid w:val="00766327"/>
    <w:rsid w:val="00813037"/>
    <w:rsid w:val="008936F9"/>
    <w:rsid w:val="008B1BD3"/>
    <w:rsid w:val="008C6083"/>
    <w:rsid w:val="008F6048"/>
    <w:rsid w:val="00913C89"/>
    <w:rsid w:val="00913CF9"/>
    <w:rsid w:val="00930966"/>
    <w:rsid w:val="00973A6F"/>
    <w:rsid w:val="009812B0"/>
    <w:rsid w:val="009A3560"/>
    <w:rsid w:val="009C15FA"/>
    <w:rsid w:val="009C22E7"/>
    <w:rsid w:val="00A71FEF"/>
    <w:rsid w:val="00A82D45"/>
    <w:rsid w:val="00A954D6"/>
    <w:rsid w:val="00AC7FF6"/>
    <w:rsid w:val="00AE1F49"/>
    <w:rsid w:val="00B15FD5"/>
    <w:rsid w:val="00B61580"/>
    <w:rsid w:val="00B647DC"/>
    <w:rsid w:val="00C17DCC"/>
    <w:rsid w:val="00C82B4C"/>
    <w:rsid w:val="00CA3940"/>
    <w:rsid w:val="00D74936"/>
    <w:rsid w:val="00DF1A95"/>
    <w:rsid w:val="00DF6DDA"/>
    <w:rsid w:val="00E31F16"/>
    <w:rsid w:val="00E8400C"/>
    <w:rsid w:val="00E87156"/>
    <w:rsid w:val="00E92C16"/>
    <w:rsid w:val="00EC0F7E"/>
    <w:rsid w:val="00F3466B"/>
    <w:rsid w:val="00F3598E"/>
    <w:rsid w:val="00F66097"/>
    <w:rsid w:val="00F672AB"/>
    <w:rsid w:val="00F72B27"/>
    <w:rsid w:val="00FA4E82"/>
    <w:rsid w:val="039C49FE"/>
    <w:rsid w:val="17FC3BF4"/>
    <w:rsid w:val="20C85CB1"/>
    <w:rsid w:val="342A436A"/>
    <w:rsid w:val="42EC71B7"/>
    <w:rsid w:val="589644ED"/>
    <w:rsid w:val="5D9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B815"/>
  <w15:docId w15:val="{83649C46-B941-42CC-99C5-D16D2274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autoRedefine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autoRedefine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autoRedefine/>
    <w:qFormat/>
    <w:rsid w:val="001D7E23"/>
    <w:pPr>
      <w:widowControl w:val="0"/>
      <w:autoSpaceDE w:val="0"/>
      <w:autoSpaceDN w:val="0"/>
      <w:spacing w:before="220"/>
      <w:ind w:firstLine="540"/>
      <w:jc w:val="both"/>
    </w:pPr>
    <w:rPr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Без интервала Знак"/>
    <w:basedOn w:val="a0"/>
    <w:link w:val="a5"/>
    <w:uiPriority w:val="1"/>
  </w:style>
  <w:style w:type="character" w:customStyle="1" w:styleId="addresswidgetwrapper--336mf">
    <w:name w:val="addresswidget__wrapper--336mf"/>
    <w:basedOn w:val="a0"/>
    <w:autoRedefine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autoRedefine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basedOn w:val="a0"/>
    <w:autoRedefine/>
    <w:qFormat/>
    <w:rPr>
      <w:rFonts w:ascii="TimesNewRoman" w:hAnsi="TimesNew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84AA524F03449ADD69A415DAF1C1DB80589DAB1D0894039BD09D8DBD2D42D425C4123328F86E85ED5AF2F96C36517022V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Ринчинова</cp:lastModifiedBy>
  <cp:revision>2</cp:revision>
  <cp:lastPrinted>2024-04-10T01:28:00Z</cp:lastPrinted>
  <dcterms:created xsi:type="dcterms:W3CDTF">2024-12-18T08:18:00Z</dcterms:created>
  <dcterms:modified xsi:type="dcterms:W3CDTF">2024-12-18T08:18:00Z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254C992496E744558A1375097ED3FDC9_13</vt:lpwstr>
  </property>
</Properties>
</file>