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center"/>
        <w:rPr>
          <w:sz w:val="28"/>
          <w:szCs w:val="28"/>
        </w:rPr>
      </w:pPr>
      <w:r w:rsidRPr="00686FE5">
        <w:rPr>
          <w:rStyle w:val="a4"/>
          <w:sz w:val="28"/>
          <w:szCs w:val="28"/>
        </w:rPr>
        <w:t>Доклад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center"/>
        <w:rPr>
          <w:sz w:val="28"/>
          <w:szCs w:val="28"/>
        </w:rPr>
      </w:pPr>
      <w:r w:rsidRPr="00686FE5">
        <w:rPr>
          <w:rStyle w:val="a4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«город Северобайкальск» за 2024 год</w:t>
      </w:r>
    </w:p>
    <w:p w:rsidR="00D67ADA" w:rsidRPr="00686FE5" w:rsidRDefault="00D67ADA" w:rsidP="00907C63">
      <w:pPr>
        <w:pStyle w:val="western"/>
        <w:spacing w:before="140" w:beforeAutospacing="0" w:after="0" w:afterAutospacing="0" w:line="140" w:lineRule="atLeast"/>
        <w:ind w:firstLine="708"/>
        <w:jc w:val="both"/>
        <w:rPr>
          <w:sz w:val="28"/>
          <w:szCs w:val="28"/>
        </w:rPr>
      </w:pPr>
      <w:proofErr w:type="gramStart"/>
      <w:r w:rsidRPr="00686FE5">
        <w:rPr>
          <w:sz w:val="28"/>
          <w:szCs w:val="28"/>
        </w:rPr>
        <w:t xml:space="preserve"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постановления </w:t>
      </w:r>
      <w:r w:rsidR="00C459B8" w:rsidRPr="00686FE5">
        <w:rPr>
          <w:sz w:val="28"/>
          <w:szCs w:val="28"/>
        </w:rPr>
        <w:t>Администрации</w:t>
      </w:r>
      <w:r w:rsidR="007B064E" w:rsidRPr="00686FE5">
        <w:rPr>
          <w:sz w:val="28"/>
          <w:szCs w:val="28"/>
        </w:rPr>
        <w:t xml:space="preserve"> муниципального образования «город Северобайкальск» от 11 марта 2019 года № 290 «Об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«город Северобайкальск»» организована </w:t>
      </w:r>
      <w:r w:rsidRPr="00686FE5">
        <w:rPr>
          <w:sz w:val="28"/>
          <w:szCs w:val="28"/>
        </w:rPr>
        <w:t>система внутреннего обеспечения соответствия требованиям антимонопольного законодательства.</w:t>
      </w:r>
      <w:proofErr w:type="gramEnd"/>
    </w:p>
    <w:p w:rsidR="00D67ADA" w:rsidRPr="00686FE5" w:rsidRDefault="00D67ADA" w:rsidP="00907C63">
      <w:pPr>
        <w:pStyle w:val="western"/>
        <w:spacing w:before="140" w:beforeAutospacing="0" w:after="0" w:afterAutospacing="0" w:line="140" w:lineRule="atLeast"/>
        <w:ind w:firstLine="708"/>
        <w:jc w:val="both"/>
        <w:rPr>
          <w:sz w:val="28"/>
          <w:szCs w:val="28"/>
        </w:rPr>
      </w:pPr>
      <w:proofErr w:type="gramStart"/>
      <w:r w:rsidRPr="00686FE5">
        <w:rPr>
          <w:sz w:val="28"/>
          <w:szCs w:val="28"/>
        </w:rPr>
        <w:t xml:space="preserve">Постановление </w:t>
      </w:r>
      <w:r w:rsidR="00907C63" w:rsidRPr="00686FE5">
        <w:rPr>
          <w:sz w:val="28"/>
          <w:szCs w:val="28"/>
        </w:rPr>
        <w:t xml:space="preserve">Администрации муниципального образования «город Северобайкальск» </w:t>
      </w:r>
      <w:r w:rsidRPr="00686FE5">
        <w:rPr>
          <w:sz w:val="28"/>
          <w:szCs w:val="28"/>
        </w:rPr>
        <w:t xml:space="preserve">от </w:t>
      </w:r>
      <w:r w:rsidR="007B064E" w:rsidRPr="00686FE5">
        <w:rPr>
          <w:sz w:val="28"/>
          <w:szCs w:val="28"/>
        </w:rPr>
        <w:t>11.03.2019 №290</w:t>
      </w:r>
      <w:r w:rsidRPr="00686FE5">
        <w:rPr>
          <w:sz w:val="28"/>
          <w:szCs w:val="28"/>
        </w:rPr>
        <w:t xml:space="preserve"> «</w:t>
      </w:r>
      <w:r w:rsidR="007B064E" w:rsidRPr="00686FE5">
        <w:rPr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«город Северобайкальск»</w:t>
      </w:r>
      <w:r w:rsidRPr="00686FE5">
        <w:rPr>
          <w:sz w:val="28"/>
          <w:szCs w:val="28"/>
        </w:rPr>
        <w:t>»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18.10.2018 N 2258-р.</w:t>
      </w:r>
      <w:proofErr w:type="gramEnd"/>
    </w:p>
    <w:p w:rsidR="007B064E" w:rsidRPr="00686FE5" w:rsidRDefault="00907C63" w:rsidP="00907C63">
      <w:pPr>
        <w:ind w:firstLine="708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Постановлением Администрации муниципального образования «город Северобайкальск» от 26.12.2024 № 1504 утверждены карта комплаенс-рисков нарушения антимонопольного законодательства, план мероприятий («дорожная карта») по снижению рисков нарушения антимонопольного законодательства, а  также перечень ключевых показателей эффективности антимонопольного законодательства (КПЭ).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>Система внутреннего обеспечения требованиям антимонопольного законодательства, включает в себя: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 xml:space="preserve">1) 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комплаенса); 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>2)</w:t>
      </w:r>
      <w:r w:rsidRPr="00686FE5">
        <w:rPr>
          <w:sz w:val="28"/>
          <w:szCs w:val="28"/>
        </w:rPr>
        <w:t xml:space="preserve"> </w:t>
      </w:r>
      <w:r w:rsidRPr="00686FE5">
        <w:rPr>
          <w:rFonts w:eastAsiaTheme="minorEastAsia"/>
          <w:kern w:val="2"/>
          <w:sz w:val="28"/>
          <w:szCs w:val="28"/>
        </w:rPr>
        <w:t>наличие карты рисков нарушения антимонопольного законодательства;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>3) наличие плана мероприятий по снижению рисков нарушения антимонопольного законодательства;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>4) 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законодательства;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t>5) наличие на официальном сайте муниципального образования в информационно-телекоммуникационной сети Интернет раздела «Антимонопольный комплаенс»;</w:t>
      </w:r>
    </w:p>
    <w:p w:rsidR="00907C63" w:rsidRPr="00686FE5" w:rsidRDefault="00907C63" w:rsidP="00907C63">
      <w:pPr>
        <w:autoSpaceDE w:val="0"/>
        <w:autoSpaceDN w:val="0"/>
        <w:adjustRightInd w:val="0"/>
        <w:ind w:left="284" w:firstLine="567"/>
        <w:jc w:val="both"/>
        <w:rPr>
          <w:rFonts w:eastAsiaTheme="minorEastAsia"/>
          <w:kern w:val="2"/>
          <w:sz w:val="28"/>
          <w:szCs w:val="28"/>
        </w:rPr>
      </w:pPr>
      <w:r w:rsidRPr="00686FE5">
        <w:rPr>
          <w:rFonts w:eastAsiaTheme="minorEastAsia"/>
          <w:kern w:val="2"/>
          <w:sz w:val="28"/>
          <w:szCs w:val="28"/>
        </w:rPr>
        <w:lastRenderedPageBreak/>
        <w:t>6) наличие доклада об организации системы внутреннего обеспечения соответствия требованиям антимонопольного законодательства в муниципальном образовании за отчетный период.</w:t>
      </w:r>
    </w:p>
    <w:p w:rsidR="00B52A09" w:rsidRPr="00686FE5" w:rsidRDefault="00D67ADA" w:rsidP="00B52A09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В целях выявления и оценки рисков нарушения антимонопольного законодательства уполномоченными должностным лицом и отделами </w:t>
      </w:r>
      <w:proofErr w:type="gramStart"/>
      <w:r w:rsidRPr="00686FE5">
        <w:rPr>
          <w:sz w:val="28"/>
          <w:szCs w:val="28"/>
        </w:rPr>
        <w:t>проводи</w:t>
      </w:r>
      <w:r w:rsidR="00B52A09" w:rsidRPr="00686FE5">
        <w:rPr>
          <w:sz w:val="28"/>
          <w:szCs w:val="28"/>
        </w:rPr>
        <w:t>лись</w:t>
      </w:r>
      <w:r w:rsidRPr="00686FE5">
        <w:rPr>
          <w:sz w:val="28"/>
          <w:szCs w:val="28"/>
        </w:rPr>
        <w:t xml:space="preserve"> ряд мероприятий</w:t>
      </w:r>
      <w:proofErr w:type="gramEnd"/>
      <w:r w:rsidR="00B52A09" w:rsidRPr="00686FE5">
        <w:rPr>
          <w:sz w:val="28"/>
          <w:szCs w:val="28"/>
        </w:rPr>
        <w:t>, в результате которых установлено, что:</w:t>
      </w:r>
    </w:p>
    <w:p w:rsidR="00D67ADA" w:rsidRPr="00686FE5" w:rsidRDefault="00B52A09" w:rsidP="00B52A09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-</w:t>
      </w:r>
      <w:r w:rsidRPr="00686FE5">
        <w:rPr>
          <w:sz w:val="28"/>
          <w:szCs w:val="28"/>
        </w:rPr>
        <w:tab/>
      </w:r>
      <w:r w:rsidR="00D67ADA" w:rsidRPr="00686FE5">
        <w:rPr>
          <w:sz w:val="28"/>
          <w:szCs w:val="28"/>
        </w:rPr>
        <w:t xml:space="preserve">рассмотрения дел по вопросам применения и возможного нарушения администрацией муниципального </w:t>
      </w:r>
      <w:r w:rsidRPr="00686FE5">
        <w:rPr>
          <w:sz w:val="28"/>
          <w:szCs w:val="28"/>
        </w:rPr>
        <w:t>образования «город Северобайкальск»</w:t>
      </w:r>
      <w:r w:rsidR="00D67ADA" w:rsidRPr="00686FE5">
        <w:rPr>
          <w:sz w:val="28"/>
          <w:szCs w:val="28"/>
        </w:rPr>
        <w:t xml:space="preserve"> норм антимонопольного законодательства в судебных инстанциях не осуществлялось;</w:t>
      </w:r>
    </w:p>
    <w:p w:rsidR="00D67ADA" w:rsidRPr="00686FE5" w:rsidRDefault="00D67ADA" w:rsidP="00B52A09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- нормативные правовые акты администрации, в которых УФАС России по </w:t>
      </w:r>
      <w:r w:rsidR="00B52A09" w:rsidRPr="00686FE5">
        <w:rPr>
          <w:sz w:val="28"/>
          <w:szCs w:val="28"/>
        </w:rPr>
        <w:t>Республике Бурятия</w:t>
      </w:r>
      <w:r w:rsidRPr="00686FE5">
        <w:rPr>
          <w:sz w:val="28"/>
          <w:szCs w:val="28"/>
        </w:rPr>
        <w:t xml:space="preserve"> выявлены нарушения антимонопольного законодательства в указанный период, в администрации муниципального </w:t>
      </w:r>
      <w:r w:rsidR="00B52A09" w:rsidRPr="00686FE5">
        <w:rPr>
          <w:sz w:val="28"/>
          <w:szCs w:val="28"/>
        </w:rPr>
        <w:t>образования «город Северобайкальск»</w:t>
      </w:r>
      <w:r w:rsidRPr="00686FE5">
        <w:rPr>
          <w:sz w:val="28"/>
          <w:szCs w:val="28"/>
        </w:rPr>
        <w:t xml:space="preserve"> отсутствуют.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В целях обеспечения проведения анализа НПА администрации размещаются на официальном сайте </w:t>
      </w:r>
      <w:r w:rsidR="00B52A09" w:rsidRPr="00686FE5">
        <w:rPr>
          <w:sz w:val="28"/>
          <w:szCs w:val="28"/>
        </w:rPr>
        <w:t>органов местного самоуправления</w:t>
      </w:r>
      <w:r w:rsidRPr="00686FE5">
        <w:rPr>
          <w:sz w:val="28"/>
          <w:szCs w:val="28"/>
        </w:rPr>
        <w:t xml:space="preserve"> в подразделе «Проекты нормативных правовых актов».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В целях выявления рисков нарушения антимонопольного законодательства уполномоченными структурными подразделениями пров</w:t>
      </w:r>
      <w:r w:rsidR="001A7CA2">
        <w:rPr>
          <w:sz w:val="28"/>
          <w:szCs w:val="28"/>
        </w:rPr>
        <w:t>о</w:t>
      </w:r>
      <w:r w:rsidRPr="00686FE5">
        <w:rPr>
          <w:sz w:val="28"/>
          <w:szCs w:val="28"/>
        </w:rPr>
        <w:t>д</w:t>
      </w:r>
      <w:r w:rsidR="001A7CA2">
        <w:rPr>
          <w:sz w:val="28"/>
          <w:szCs w:val="28"/>
        </w:rPr>
        <w:t>ились</w:t>
      </w:r>
      <w:r w:rsidRPr="00686FE5">
        <w:rPr>
          <w:sz w:val="28"/>
          <w:szCs w:val="28"/>
        </w:rPr>
        <w:t xml:space="preserve"> рабочие совещания с уполномоченными структурными подразделениями с целью обсуждения и анализа результатов проводимой работы по выявлению комплаенс-рисков.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По результатам </w:t>
      </w:r>
      <w:proofErr w:type="gramStart"/>
      <w:r w:rsidRPr="00686FE5">
        <w:rPr>
          <w:sz w:val="28"/>
          <w:szCs w:val="28"/>
        </w:rPr>
        <w:t>проведения оценки рисков нарушения антимонопольного законодательства</w:t>
      </w:r>
      <w:proofErr w:type="gramEnd"/>
      <w:r w:rsidRPr="00686FE5">
        <w:rPr>
          <w:sz w:val="28"/>
          <w:szCs w:val="28"/>
        </w:rPr>
        <w:t xml:space="preserve"> составлена Карта рисков нарушения  антимонопольного законодательства.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В целях снижения рисков нарушения антимонопольного законодательства уполномоченным подразделением на основе Карты рисков разработан План мероприятий (дорожная карта) по снижению рисков нарушения антимонопольного законодательства в администрации </w:t>
      </w:r>
      <w:r w:rsidR="00B52A09" w:rsidRPr="00686FE5">
        <w:rPr>
          <w:sz w:val="28"/>
          <w:szCs w:val="28"/>
        </w:rPr>
        <w:t>муниципального образования «город Северобайкальск»</w:t>
      </w:r>
      <w:r w:rsidRPr="00686FE5">
        <w:rPr>
          <w:sz w:val="28"/>
          <w:szCs w:val="28"/>
        </w:rPr>
        <w:t>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ind w:firstLine="568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Согласно Методике  ключевыми показателями эффективности </w:t>
      </w:r>
      <w:proofErr w:type="gramStart"/>
      <w:r w:rsidRPr="00686FE5">
        <w:rPr>
          <w:sz w:val="28"/>
          <w:szCs w:val="28"/>
        </w:rPr>
        <w:t>антимонопольного</w:t>
      </w:r>
      <w:proofErr w:type="gramEnd"/>
      <w:r w:rsidRPr="00686FE5">
        <w:rPr>
          <w:sz w:val="28"/>
          <w:szCs w:val="28"/>
        </w:rPr>
        <w:t xml:space="preserve"> комплаенса  в администрации комплаенса являются:</w:t>
      </w:r>
    </w:p>
    <w:p w:rsidR="00283791" w:rsidRPr="00686FE5" w:rsidRDefault="00283791" w:rsidP="0028379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E5">
        <w:rPr>
          <w:rFonts w:ascii="Times New Roman" w:hAnsi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 муниципального образования «город Северобайкальск» по сравнению с годом, предшествующим отчетному году.</w:t>
      </w:r>
    </w:p>
    <w:p w:rsidR="00283791" w:rsidRPr="00686FE5" w:rsidRDefault="00283791" w:rsidP="0028379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E5">
        <w:rPr>
          <w:rFonts w:ascii="Times New Roman" w:hAnsi="Times New Roman"/>
          <w:sz w:val="28"/>
          <w:szCs w:val="28"/>
        </w:rPr>
        <w:t>Доля проектов нормативных правовых актов Администрации, в которых выявлены риски нарушения антимонопольного законодательства.</w:t>
      </w:r>
    </w:p>
    <w:p w:rsidR="00283791" w:rsidRPr="00686FE5" w:rsidRDefault="00283791" w:rsidP="0028379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FE5">
        <w:rPr>
          <w:rFonts w:ascii="Times New Roman" w:hAnsi="Times New Roman"/>
          <w:sz w:val="28"/>
          <w:szCs w:val="28"/>
        </w:rPr>
        <w:t>Доля нормативных правовых актов Администрации, в которых выявлены риски нарушения антимонопольного законодательства.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rStyle w:val="a4"/>
          <w:sz w:val="28"/>
          <w:szCs w:val="28"/>
        </w:rPr>
        <w:lastRenderedPageBreak/>
        <w:t>Выводы:</w:t>
      </w:r>
    </w:p>
    <w:p w:rsidR="00E51F86" w:rsidRPr="00E51F86" w:rsidRDefault="00E51F86" w:rsidP="00E51F86">
      <w:pPr>
        <w:tabs>
          <w:tab w:val="left" w:pos="9355"/>
        </w:tabs>
        <w:spacing w:after="193" w:line="258" w:lineRule="atLeast"/>
        <w:ind w:right="-1"/>
        <w:jc w:val="both"/>
        <w:rPr>
          <w:sz w:val="28"/>
          <w:szCs w:val="28"/>
        </w:rPr>
      </w:pPr>
      <w:r w:rsidRPr="00E51F86">
        <w:rPr>
          <w:sz w:val="28"/>
          <w:szCs w:val="28"/>
        </w:rPr>
        <w:t>Анализ нормативных правовых актов также не выявил нарушений антимонопольного законодательства. Мониторинг и анализ практики применения антимонопольного законодательства проводится на постоянной основе, что позволяет не допускать факты нарушения антимонопольного законодательства. Кроме того, на основании данного мониторинга и анализа были выявлены потенциальные риски нарушения антимонопольного законодательства и разработаны соответствующие мероприятия по снижению указанных рисков.</w:t>
      </w:r>
    </w:p>
    <w:p w:rsidR="00E51F86" w:rsidRPr="00E51F86" w:rsidRDefault="00E51F86" w:rsidP="00E51F86">
      <w:pPr>
        <w:tabs>
          <w:tab w:val="left" w:pos="9355"/>
        </w:tabs>
        <w:spacing w:after="193" w:line="258" w:lineRule="atLeast"/>
        <w:ind w:right="-1"/>
        <w:jc w:val="both"/>
        <w:rPr>
          <w:sz w:val="28"/>
          <w:szCs w:val="28"/>
        </w:rPr>
      </w:pPr>
      <w:r w:rsidRPr="00E51F86">
        <w:rPr>
          <w:sz w:val="28"/>
          <w:szCs w:val="28"/>
        </w:rPr>
        <w:t>Уровень риска нарушения антимонопольного законодательства в администрации оценивается как низкий, так как отсутствуют предпосылки к их возникновению.</w:t>
      </w:r>
    </w:p>
    <w:p w:rsidR="00D67ADA" w:rsidRPr="00E51F86" w:rsidRDefault="00D67ADA" w:rsidP="00E51F86">
      <w:pPr>
        <w:pStyle w:val="western"/>
        <w:tabs>
          <w:tab w:val="left" w:pos="9355"/>
        </w:tabs>
        <w:spacing w:before="140" w:beforeAutospacing="0" w:after="0" w:afterAutospacing="0" w:line="140" w:lineRule="atLeast"/>
        <w:ind w:right="-1"/>
        <w:jc w:val="both"/>
        <w:rPr>
          <w:sz w:val="28"/>
          <w:szCs w:val="28"/>
        </w:rPr>
      </w:pPr>
      <w:r w:rsidRPr="00E51F86">
        <w:rPr>
          <w:sz w:val="28"/>
          <w:szCs w:val="28"/>
        </w:rPr>
        <w:t>В настоящее время в администрации </w:t>
      </w:r>
      <w:r w:rsidRPr="00E51F86">
        <w:rPr>
          <w:rStyle w:val="a4"/>
          <w:b w:val="0"/>
          <w:bCs w:val="0"/>
          <w:sz w:val="28"/>
          <w:szCs w:val="28"/>
        </w:rPr>
        <w:t xml:space="preserve"> муниципального </w:t>
      </w:r>
      <w:r w:rsidR="00283791" w:rsidRPr="00E51F86">
        <w:rPr>
          <w:rStyle w:val="a4"/>
          <w:b w:val="0"/>
          <w:bCs w:val="0"/>
          <w:sz w:val="28"/>
          <w:szCs w:val="28"/>
        </w:rPr>
        <w:t>образования «город Северобайкальск»</w:t>
      </w:r>
      <w:r w:rsidRPr="00E51F86">
        <w:rPr>
          <w:sz w:val="28"/>
          <w:szCs w:val="28"/>
        </w:rPr>
        <w:t xml:space="preserve"> осуществлено внедрение системы внутреннего обеспечения соответствия требованиям антимонопольного законодательства.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Разработаны нормативные акты администрации в сфере антимонопольного комплаенса, создан раздел «Антимонопольный комплаенс» на официальном сайте </w:t>
      </w:r>
      <w:r w:rsidR="00283791" w:rsidRPr="00686FE5">
        <w:rPr>
          <w:rStyle w:val="a4"/>
          <w:b w:val="0"/>
          <w:bCs w:val="0"/>
          <w:sz w:val="28"/>
          <w:szCs w:val="28"/>
        </w:rPr>
        <w:t>органов местного самоуправления</w:t>
      </w:r>
      <w:r w:rsidRPr="00686FE5">
        <w:rPr>
          <w:sz w:val="28"/>
          <w:szCs w:val="28"/>
        </w:rPr>
        <w:t>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686FE5">
        <w:rPr>
          <w:sz w:val="28"/>
          <w:szCs w:val="28"/>
        </w:rPr>
        <w:t>которой</w:t>
      </w:r>
      <w:proofErr w:type="gramEnd"/>
      <w:r w:rsidRPr="00686FE5">
        <w:rPr>
          <w:sz w:val="28"/>
          <w:szCs w:val="28"/>
        </w:rPr>
        <w:t xml:space="preserve"> составлена Карта рисков нарушения  антимонопольного законодательства.</w:t>
      </w:r>
    </w:p>
    <w:p w:rsidR="00D67ADA" w:rsidRPr="00686FE5" w:rsidRDefault="00D67ADA" w:rsidP="00D67ADA">
      <w:pPr>
        <w:pStyle w:val="western"/>
        <w:spacing w:before="140" w:beforeAutospacing="0" w:after="0" w:afterAutospacing="0" w:line="140" w:lineRule="atLeast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В целях снижения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 в администрации </w:t>
      </w:r>
      <w:r w:rsidR="00283791" w:rsidRPr="00686FE5">
        <w:rPr>
          <w:rStyle w:val="a4"/>
          <w:b w:val="0"/>
          <w:bCs w:val="0"/>
          <w:sz w:val="28"/>
          <w:szCs w:val="28"/>
        </w:rPr>
        <w:t>муниципального образования «город Северобайкальск»</w:t>
      </w:r>
      <w:r w:rsidRPr="00686FE5">
        <w:rPr>
          <w:sz w:val="28"/>
          <w:szCs w:val="28"/>
        </w:rPr>
        <w:t>.</w:t>
      </w:r>
    </w:p>
    <w:p w:rsidR="009F45E3" w:rsidRPr="00686FE5" w:rsidRDefault="009F45E3" w:rsidP="009F45E3">
      <w:pPr>
        <w:pStyle w:val="a3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В 2024 году все ключевые показатели эффективности функционирования антимонопольного комплаенса в администрации муниципального образования «город Северобайкальск» были достигнуты.</w:t>
      </w:r>
    </w:p>
    <w:p w:rsidR="009F45E3" w:rsidRPr="00686FE5" w:rsidRDefault="009F45E3" w:rsidP="009F45E3">
      <w:pPr>
        <w:pStyle w:val="a3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686FE5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администрации </w:t>
      </w:r>
      <w:r w:rsidRPr="00686FE5">
        <w:rPr>
          <w:rStyle w:val="a4"/>
          <w:b w:val="0"/>
          <w:bCs w:val="0"/>
          <w:sz w:val="28"/>
          <w:szCs w:val="28"/>
        </w:rPr>
        <w:t>муниципального образования «город Северобайкальск»</w:t>
      </w:r>
      <w:r w:rsidRPr="00686FE5">
        <w:rPr>
          <w:sz w:val="28"/>
          <w:szCs w:val="28"/>
        </w:rPr>
        <w:t xml:space="preserve"> на 2024 г. исполнен в полном объеме.</w:t>
      </w:r>
    </w:p>
    <w:p w:rsidR="00BC18B9" w:rsidRPr="00686FE5" w:rsidRDefault="00BC18B9">
      <w:pPr>
        <w:rPr>
          <w:sz w:val="28"/>
          <w:szCs w:val="28"/>
        </w:rPr>
      </w:pPr>
    </w:p>
    <w:sectPr w:rsidR="00BC18B9" w:rsidRPr="00686FE5" w:rsidSect="00B8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25743"/>
    <w:multiLevelType w:val="multilevel"/>
    <w:tmpl w:val="DC0A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93BB6"/>
    <w:multiLevelType w:val="hybridMultilevel"/>
    <w:tmpl w:val="4008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F4262"/>
    <w:multiLevelType w:val="multilevel"/>
    <w:tmpl w:val="E2E2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F785A"/>
    <w:multiLevelType w:val="multilevel"/>
    <w:tmpl w:val="B464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18B9"/>
    <w:rsid w:val="00010C62"/>
    <w:rsid w:val="00013245"/>
    <w:rsid w:val="00056130"/>
    <w:rsid w:val="000D0EBC"/>
    <w:rsid w:val="00176675"/>
    <w:rsid w:val="001A7CA2"/>
    <w:rsid w:val="001D60DC"/>
    <w:rsid w:val="001D628F"/>
    <w:rsid w:val="00230635"/>
    <w:rsid w:val="00283791"/>
    <w:rsid w:val="003A1441"/>
    <w:rsid w:val="004457B2"/>
    <w:rsid w:val="00517F1F"/>
    <w:rsid w:val="00686FE5"/>
    <w:rsid w:val="007548F4"/>
    <w:rsid w:val="007B064E"/>
    <w:rsid w:val="00907C63"/>
    <w:rsid w:val="00922A1E"/>
    <w:rsid w:val="009F45E3"/>
    <w:rsid w:val="00A50477"/>
    <w:rsid w:val="00A86827"/>
    <w:rsid w:val="00AD6745"/>
    <w:rsid w:val="00AE0681"/>
    <w:rsid w:val="00B01ED0"/>
    <w:rsid w:val="00B52A09"/>
    <w:rsid w:val="00B6447B"/>
    <w:rsid w:val="00B877C1"/>
    <w:rsid w:val="00BC18B9"/>
    <w:rsid w:val="00C459B8"/>
    <w:rsid w:val="00CE4770"/>
    <w:rsid w:val="00D67ADA"/>
    <w:rsid w:val="00D70E30"/>
    <w:rsid w:val="00DA29DF"/>
    <w:rsid w:val="00E51F86"/>
    <w:rsid w:val="00F3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A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AD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67ADA"/>
    <w:rPr>
      <w:b/>
      <w:bCs/>
    </w:rPr>
  </w:style>
  <w:style w:type="character" w:styleId="a5">
    <w:name w:val="Hyperlink"/>
    <w:basedOn w:val="a0"/>
    <w:uiPriority w:val="99"/>
    <w:semiHidden/>
    <w:unhideWhenUsed/>
    <w:rsid w:val="00D67ADA"/>
    <w:rPr>
      <w:color w:val="0000FF"/>
      <w:u w:val="single"/>
    </w:rPr>
  </w:style>
  <w:style w:type="paragraph" w:customStyle="1" w:styleId="western">
    <w:name w:val="western"/>
    <w:basedOn w:val="a"/>
    <w:rsid w:val="00D67AD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37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economica_3</dc:creator>
  <cp:lastModifiedBy>economica_3</cp:lastModifiedBy>
  <cp:revision>2</cp:revision>
  <cp:lastPrinted>2025-02-10T03:28:00Z</cp:lastPrinted>
  <dcterms:created xsi:type="dcterms:W3CDTF">2025-04-02T01:55:00Z</dcterms:created>
  <dcterms:modified xsi:type="dcterms:W3CDTF">2025-04-02T01:55:00Z</dcterms:modified>
</cp:coreProperties>
</file>